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F3" w:rsidRDefault="002734FA">
      <w:pPr>
        <w:pStyle w:val="Standard"/>
      </w:pPr>
      <w:bookmarkStart w:id="0" w:name="_GoBack"/>
      <w:bookmarkEnd w:id="0"/>
      <w:r>
        <w:rPr>
          <w:spacing w:val="20"/>
          <w:szCs w:val="22"/>
        </w:rPr>
        <w:t xml:space="preserve">      </w:t>
      </w:r>
      <w:r>
        <w:rPr>
          <w:color w:val="000000"/>
          <w:spacing w:val="20"/>
          <w:szCs w:val="22"/>
        </w:rPr>
        <w:t xml:space="preserve">       </w:t>
      </w:r>
    </w:p>
    <w:p w:rsidR="003620F3" w:rsidRDefault="002734FA">
      <w:pPr>
        <w:pStyle w:val="Standard"/>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167755</wp:posOffset>
                </wp:positionH>
                <wp:positionV relativeFrom="paragraph">
                  <wp:posOffset>6650275</wp:posOffset>
                </wp:positionV>
                <wp:extent cx="1791337" cy="254002"/>
                <wp:effectExtent l="0" t="0" r="0" b="0"/>
                <wp:wrapNone/>
                <wp:docPr id="1" name="Figura a mano libera 1"/>
                <wp:cNvGraphicFramePr/>
                <a:graphic xmlns:a="http://schemas.openxmlformats.org/drawingml/2006/main">
                  <a:graphicData uri="http://schemas.microsoft.com/office/word/2010/wordprocessingShape">
                    <wps:wsp>
                      <wps:cNvSpPr/>
                      <wps:spPr>
                        <a:xfrm>
                          <a:off x="0" y="0"/>
                          <a:ext cx="1791337" cy="25400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cap="flat">
                          <a:noFill/>
                          <a:prstDash val="solid"/>
                        </a:ln>
                      </wps:spPr>
                      <wps:txbx>
                        <w:txbxContent>
                          <w:p w:rsidR="003620F3" w:rsidRDefault="003620F3">
                            <w:pPr>
                              <w:rPr>
                                <w:rFonts w:hint="eastAsia"/>
                              </w:rPr>
                            </w:pPr>
                          </w:p>
                        </w:txbxContent>
                      </wps:txbx>
                      <wps:bodyPr vert="horz" wrap="none" lIns="158758" tIns="82442" rIns="158758" bIns="82442" anchor="ctr" anchorCtr="0" compatLnSpc="0">
                        <a:noAutofit/>
                      </wps:bodyPr>
                    </wps:wsp>
                  </a:graphicData>
                </a:graphic>
              </wp:anchor>
            </w:drawing>
          </mc:Choice>
          <mc:Fallback>
            <w:pict>
              <v:shape id="Figura a mano libera 1" o:spid="_x0000_s1026" style="position:absolute;left:0;text-align:left;margin-left:13.2pt;margin-top:523.65pt;width:141.05pt;height:20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OPEAMAAKEHAAAOAAAAZHJzL2Uyb0RvYy54bWysVW1r2zAQ/j7YfxD6uNH4Ja8NdcpY6RiU&#10;rdDuByiyFBtkSUhKnO7X7yTLjtsmMMa+2Drf40e65053N7fHRqADM7ZWssDZJMWISarKWu4K/Ov5&#10;/mqFkXVElkQoyQr8wiy+3Xz8cNPqNctVpUTJDAISadetLnDlnF4niaUVa4idKM0kOLkyDXFgml1S&#10;GtICeyOSPE0XSatMqY2izFr4etc58Sbwc86o+8m5ZQ6JAsPZXHia8Nz6Z7K5IeudIbqqaTwG+YdT&#10;NKSWsOlAdUccQXtTv6NqamqUVdxNqGoSxXlNWYgBosnSN9E8VUSzEAuIY/Ugk/1/tPTH4dGguoTc&#10;YSRJAym6r3d7QxBBDZEKiXrLwMq8Uq22a/jhST+aaFlY+rCP3DT+DQGhY1D3ZVCXHR2i8DFbXmfT&#10;6RIjCr58PkvT3JMmp7/p3rpvTAUmcniwrstOCaugbRlPyCGTvBGQqAMRqI1JHLwQyclbvfXmY29f&#10;AMO/07E3zxbpO8SsR3xKEE9Rhs6i5mNUdgm16FGfrxCfohTxIAmU0XAg0KsLxm+3uEQEt+yEygHF&#10;l2/jvh5Dpmch2aCr32yF+KzL+/g82aCux1yfxwwaR8z8DM+gdNwrYqAcdn3CSdXXAD3KWASwQsQ3&#10;lyktZ+HKaWV9zVUUIygsF2sKcL5mBng6xpoAPdAL2PPM24vofMwtznBDUKcIDDQl3464lxsaEs9A&#10;CmhJ3EsLTYlnsQg0cV4AH4ZfohauTahIVPUr72vUgT2rgHJeCKghL0RXSrDzyS/kKxxsO8b13v6t&#10;O7aImsboe2//jqi459+h+nvfc1ChLOtagQ809IQheK/dqC9IdV8LERqDkIgSmBlcEBcyMPJpY90d&#10;sRWCDlFgq0RdDgEAv+9kXe/yK3fcHoHRL7eqfIGGCBMNMlMp8xujFqZDgSWML4zEdwnNN5uvlnO4&#10;ci5Yq3w2g/DNK9d27CKSAlWBqYPC64yvDmzIP0wBiPRBPmnqbZ9Fqb7sneK1737hoN2ZogFzIOgT&#10;Z5YfNGM7oE6TdfMHAAD//wMAUEsDBBQABgAIAAAAIQBTmess4gAAAAwBAAAPAAAAZHJzL2Rvd25y&#10;ZXYueG1sTI9NS8NAEIbvgv9hGcGL2F3TWNeYTVFBhIKUfqDXaTImwexuyG7b9N87Pelxnnl555l8&#10;PtpOHGgIrXcG7iYKBLnSV62rDWw3b7caRIjoKuy8IwMnCjAvLi9yzCp/dCs6rGMtuMSFDA00MfaZ&#10;lKFsyGKY+J4c7779YDHyONSyGvDI5baTiVIzabF1fKHBnl4bKn/We2sA08WyTvT7aaW/PtLH7fLm&#10;5XNDxlxfjc9PICKN8S8MZ31Wh4Kddn7vqiA6A8ks5SRzlT5MQXBiqvQ9iN0ZaUayyOX/J4pfAAAA&#10;//8DAFBLAQItABQABgAIAAAAIQC2gziS/gAAAOEBAAATAAAAAAAAAAAAAAAAAAAAAABbQ29udGVu&#10;dF9UeXBlc10ueG1sUEsBAi0AFAAGAAgAAAAhADj9If/WAAAAlAEAAAsAAAAAAAAAAAAAAAAALwEA&#10;AF9yZWxzLy5yZWxzUEsBAi0AFAAGAAgAAAAhAPu0c48QAwAAoQcAAA4AAAAAAAAAAAAAAAAALgIA&#10;AGRycy9lMm9Eb2MueG1sUEsBAi0AFAAGAAgAAAAhAFOZ6yziAAAADAEAAA8AAAAAAAAAAAAAAAAA&#10;agUAAGRycy9kb3ducmV2LnhtbFBLBQYAAAAABAAEAPMAAAB5BgAAAAA=&#10;" adj="-11796480,,5400" path="m,l21600,r,21600l,21600,,xe" filled="f" stroked="f">
                <v:stroke joinstyle="miter"/>
                <v:formulas/>
                <v:path arrowok="t" o:connecttype="custom" o:connectlocs="895669,0;1791337,127001;895669,254002;0,127001" o:connectangles="270,0,90,180" textboxrect="0,0,21600,21600"/>
                <v:textbox inset="4.40994mm,2.29006mm,4.40994mm,2.29006mm">
                  <w:txbxContent>
                    <w:p w:rsidR="003620F3" w:rsidRDefault="003620F3">
                      <w:pPr>
                        <w:rPr>
                          <w:rFonts w:hint="eastAsia"/>
                        </w:rPr>
                      </w:pPr>
                    </w:p>
                  </w:txbxContent>
                </v:textbox>
              </v:shape>
            </w:pict>
          </mc:Fallback>
        </mc:AlternateContent>
      </w:r>
      <w:r>
        <w:rPr>
          <w:szCs w:val="22"/>
        </w:rPr>
        <w:t xml:space="preserve">      </w:t>
      </w: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3620F3">
      <w:pPr>
        <w:pStyle w:val="Standard"/>
      </w:pPr>
    </w:p>
    <w:p w:rsidR="003620F3" w:rsidRDefault="002734FA">
      <w:pPr>
        <w:pStyle w:val="Standard"/>
        <w:jc w:val="center"/>
        <w:rPr>
          <w:sz w:val="80"/>
          <w:szCs w:val="80"/>
        </w:rPr>
      </w:pPr>
      <w:r>
        <w:rPr>
          <w:sz w:val="80"/>
          <w:szCs w:val="80"/>
        </w:rPr>
        <w:t>Comune di Goni</w:t>
      </w:r>
    </w:p>
    <w:p w:rsidR="003620F3" w:rsidRDefault="002734FA">
      <w:pPr>
        <w:pStyle w:val="Titolo1"/>
        <w:spacing w:before="0" w:after="0"/>
        <w:jc w:val="center"/>
        <w:rPr>
          <w:sz w:val="36"/>
          <w:szCs w:val="36"/>
        </w:rPr>
      </w:pPr>
      <w:r>
        <w:rPr>
          <w:sz w:val="36"/>
          <w:szCs w:val="36"/>
        </w:rPr>
        <w:lastRenderedPageBreak/>
        <w:t>Relazione illustrativa</w:t>
      </w:r>
    </w:p>
    <w:p w:rsidR="003620F3" w:rsidRDefault="003620F3">
      <w:pPr>
        <w:pStyle w:val="Standard"/>
      </w:pPr>
    </w:p>
    <w:p w:rsidR="003620F3" w:rsidRDefault="002734FA">
      <w:pPr>
        <w:pStyle w:val="Titolo2"/>
        <w:ind w:left="357"/>
        <w:jc w:val="center"/>
        <w:rPr>
          <w:color w:val="31849B"/>
          <w:szCs w:val="28"/>
          <w:shd w:val="clear" w:color="auto" w:fill="FFFFFF"/>
        </w:rPr>
      </w:pPr>
      <w:r>
        <w:rPr>
          <w:color w:val="31849B"/>
          <w:szCs w:val="28"/>
          <w:shd w:val="clear" w:color="auto" w:fill="FFFFFF"/>
        </w:rPr>
        <w:t>Modulo I - Illustrazione degli aspetti procedurali, sintesi del contenuto del contratto ed autodichiarazione</w:t>
      </w:r>
      <w:r>
        <w:rPr>
          <w:color w:val="31849B"/>
          <w:szCs w:val="28"/>
          <w:shd w:val="clear" w:color="auto" w:fill="FFFFFF"/>
        </w:rPr>
        <w:t xml:space="preserve"> relative agli adempimenti della legge</w:t>
      </w:r>
    </w:p>
    <w:tbl>
      <w:tblPr>
        <w:tblW w:w="9616" w:type="dxa"/>
        <w:tblInd w:w="-113" w:type="dxa"/>
        <w:tblLayout w:type="fixed"/>
        <w:tblCellMar>
          <w:left w:w="10" w:type="dxa"/>
          <w:right w:w="10" w:type="dxa"/>
        </w:tblCellMar>
        <w:tblLook w:val="04A0" w:firstRow="1" w:lastRow="0" w:firstColumn="1" w:lastColumn="0" w:noHBand="0" w:noVBand="1"/>
      </w:tblPr>
      <w:tblGrid>
        <w:gridCol w:w="1429"/>
        <w:gridCol w:w="1940"/>
        <w:gridCol w:w="6247"/>
      </w:tblGrid>
      <w:tr w:rsidR="003620F3">
        <w:tblPrEx>
          <w:tblCellMar>
            <w:top w:w="0" w:type="dxa"/>
            <w:bottom w:w="0" w:type="dxa"/>
          </w:tblCellMar>
        </w:tblPrEx>
        <w:tc>
          <w:tcPr>
            <w:tcW w:w="33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rPr>
                <w:b/>
                <w:szCs w:val="22"/>
              </w:rPr>
            </w:pPr>
            <w:r>
              <w:rPr>
                <w:b/>
                <w:szCs w:val="22"/>
              </w:rPr>
              <w:t>Data di sottoscrizione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2734FA">
            <w:pPr>
              <w:pStyle w:val="Standard"/>
              <w:snapToGrid w:val="0"/>
              <w:ind w:firstLine="0"/>
            </w:pPr>
            <w:r>
              <w:rPr>
                <w:szCs w:val="22"/>
                <w:lang w:eastAsia="it-IT"/>
              </w:rPr>
              <w:t>Accordo per ripartizione</w:t>
            </w:r>
            <w:r>
              <w:rPr>
                <w:rFonts w:cs="Garamond"/>
              </w:rPr>
              <w:t xml:space="preserve"> risorse decentrate fondo produttività anno 2016 </w:t>
            </w:r>
            <w:r>
              <w:rPr>
                <w:szCs w:val="22"/>
                <w:lang w:eastAsia="it-IT"/>
              </w:rPr>
              <w:t xml:space="preserve"> del 5.10.2016 – Pre intesa</w:t>
            </w:r>
          </w:p>
        </w:tc>
      </w:tr>
      <w:tr w:rsidR="003620F3">
        <w:tblPrEx>
          <w:tblCellMar>
            <w:top w:w="0" w:type="dxa"/>
            <w:bottom w:w="0" w:type="dxa"/>
          </w:tblCellMar>
        </w:tblPrEx>
        <w:tc>
          <w:tcPr>
            <w:tcW w:w="33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rPr>
                <w:b/>
                <w:szCs w:val="22"/>
              </w:rPr>
            </w:pPr>
            <w:r>
              <w:rPr>
                <w:b/>
                <w:szCs w:val="22"/>
              </w:rPr>
              <w:t>Periodo temporale di vigenza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2734FA">
            <w:pPr>
              <w:pStyle w:val="Standard"/>
              <w:snapToGrid w:val="0"/>
              <w:ind w:firstLine="0"/>
            </w:pPr>
            <w:r>
              <w:rPr>
                <w:szCs w:val="22"/>
              </w:rPr>
              <w:t>1 GENNAIO 2016 – 31 DICEMBRE 2016</w:t>
            </w:r>
          </w:p>
        </w:tc>
      </w:tr>
      <w:tr w:rsidR="003620F3">
        <w:tblPrEx>
          <w:tblCellMar>
            <w:top w:w="0" w:type="dxa"/>
            <w:bottom w:w="0" w:type="dxa"/>
          </w:tblCellMar>
        </w:tblPrEx>
        <w:trPr>
          <w:trHeight w:val="730"/>
        </w:trPr>
        <w:tc>
          <w:tcPr>
            <w:tcW w:w="33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rPr>
                <w:b/>
                <w:szCs w:val="22"/>
              </w:rPr>
            </w:pPr>
            <w:r>
              <w:rPr>
                <w:b/>
                <w:szCs w:val="22"/>
              </w:rPr>
              <w:t>Composizione</w:t>
            </w:r>
            <w:r>
              <w:rPr>
                <w:b/>
                <w:szCs w:val="22"/>
              </w:rPr>
              <w:br/>
            </w:r>
            <w:r>
              <w:rPr>
                <w:b/>
                <w:szCs w:val="22"/>
              </w:rPr>
              <w:t>della delegazio</w:t>
            </w:r>
            <w:r>
              <w:rPr>
                <w:b/>
                <w:szCs w:val="22"/>
              </w:rPr>
              <w:t>ne trattante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2734FA">
            <w:pPr>
              <w:pStyle w:val="Standard"/>
              <w:snapToGrid w:val="0"/>
              <w:ind w:right="-1" w:firstLine="51"/>
              <w:rPr>
                <w:szCs w:val="22"/>
                <w:lang w:eastAsia="it-IT"/>
              </w:rPr>
            </w:pPr>
            <w:r>
              <w:rPr>
                <w:szCs w:val="22"/>
                <w:lang w:eastAsia="it-IT"/>
              </w:rPr>
              <w:t>Parte Pubblica (ruoli/qualifiche ricoperti):</w:t>
            </w:r>
          </w:p>
          <w:p w:rsidR="003620F3" w:rsidRDefault="002734FA">
            <w:pPr>
              <w:pStyle w:val="Standard"/>
              <w:ind w:right="-1" w:firstLine="708"/>
              <w:textAlignment w:val="auto"/>
              <w:rPr>
                <w:szCs w:val="22"/>
                <w:lang w:eastAsia="it-IT"/>
              </w:rPr>
            </w:pPr>
            <w:r>
              <w:rPr>
                <w:szCs w:val="22"/>
                <w:lang w:eastAsia="it-IT"/>
              </w:rPr>
              <w:t>- Dott. Francesco Gentile  – Presidente</w:t>
            </w:r>
          </w:p>
          <w:p w:rsidR="003620F3" w:rsidRDefault="002734FA">
            <w:pPr>
              <w:pStyle w:val="Standard"/>
              <w:shd w:val="clear" w:color="auto" w:fill="FFFFFF"/>
              <w:ind w:left="708" w:right="-1" w:firstLine="0"/>
              <w:textAlignment w:val="auto"/>
              <w:rPr>
                <w:szCs w:val="22"/>
                <w:lang w:eastAsia="it-IT"/>
              </w:rPr>
            </w:pPr>
            <w:r>
              <w:rPr>
                <w:szCs w:val="22"/>
                <w:lang w:eastAsia="it-IT"/>
              </w:rPr>
              <w:t>- Dott. Domenica Delussu – Responsabile finanziario - Componente</w:t>
            </w:r>
          </w:p>
          <w:p w:rsidR="003620F3" w:rsidRDefault="003620F3">
            <w:pPr>
              <w:pStyle w:val="Standard"/>
              <w:ind w:right="-1" w:firstLine="708"/>
              <w:textAlignment w:val="auto"/>
              <w:rPr>
                <w:szCs w:val="22"/>
                <w:lang w:eastAsia="it-IT"/>
              </w:rPr>
            </w:pPr>
          </w:p>
          <w:p w:rsidR="003620F3" w:rsidRDefault="002734FA">
            <w:pPr>
              <w:pStyle w:val="Standard"/>
              <w:ind w:firstLine="0"/>
              <w:textAlignment w:val="auto"/>
              <w:rPr>
                <w:szCs w:val="22"/>
                <w:lang w:eastAsia="it-IT"/>
              </w:rPr>
            </w:pPr>
            <w:r>
              <w:rPr>
                <w:szCs w:val="22"/>
                <w:lang w:eastAsia="it-IT"/>
              </w:rPr>
              <w:t>Organizzazioni sindacali ammesse alla contrattazione (elenco sigle):</w:t>
            </w:r>
          </w:p>
          <w:p w:rsidR="003620F3" w:rsidRDefault="002734FA">
            <w:pPr>
              <w:pStyle w:val="Standard"/>
              <w:ind w:firstLine="771"/>
              <w:textAlignment w:val="auto"/>
              <w:rPr>
                <w:szCs w:val="22"/>
                <w:lang w:eastAsia="it-IT"/>
              </w:rPr>
            </w:pPr>
            <w:r>
              <w:rPr>
                <w:szCs w:val="22"/>
                <w:lang w:eastAsia="it-IT"/>
              </w:rPr>
              <w:t>nessun partecipante</w:t>
            </w:r>
          </w:p>
          <w:p w:rsidR="003620F3" w:rsidRDefault="002734FA">
            <w:pPr>
              <w:pStyle w:val="Standard"/>
              <w:ind w:firstLine="0"/>
              <w:textAlignment w:val="auto"/>
              <w:rPr>
                <w:szCs w:val="22"/>
                <w:lang w:eastAsia="it-IT"/>
              </w:rPr>
            </w:pPr>
            <w:r>
              <w:rPr>
                <w:szCs w:val="22"/>
                <w:lang w:eastAsia="it-IT"/>
              </w:rPr>
              <w:t>R.S.U.:</w:t>
            </w:r>
          </w:p>
          <w:p w:rsidR="003620F3" w:rsidRDefault="002734FA">
            <w:pPr>
              <w:pStyle w:val="Standard"/>
              <w:textAlignment w:val="auto"/>
              <w:rPr>
                <w:szCs w:val="22"/>
                <w:lang w:eastAsia="it-IT"/>
              </w:rPr>
            </w:pPr>
            <w:r>
              <w:rPr>
                <w:szCs w:val="22"/>
                <w:lang w:eastAsia="it-IT"/>
              </w:rPr>
              <w:t xml:space="preserve">           - non eletto</w:t>
            </w:r>
          </w:p>
          <w:p w:rsidR="003620F3" w:rsidRDefault="003620F3">
            <w:pPr>
              <w:pStyle w:val="Standard"/>
              <w:snapToGrid w:val="0"/>
              <w:ind w:right="-1" w:firstLine="51"/>
              <w:rPr>
                <w:rFonts w:cs="Arial"/>
                <w:szCs w:val="22"/>
              </w:rPr>
            </w:pPr>
          </w:p>
        </w:tc>
      </w:tr>
      <w:tr w:rsidR="003620F3">
        <w:tblPrEx>
          <w:tblCellMar>
            <w:top w:w="0" w:type="dxa"/>
            <w:bottom w:w="0" w:type="dxa"/>
          </w:tblCellMar>
        </w:tblPrEx>
        <w:trPr>
          <w:trHeight w:val="427"/>
        </w:trPr>
        <w:tc>
          <w:tcPr>
            <w:tcW w:w="33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rPr>
                <w:b/>
                <w:szCs w:val="22"/>
              </w:rPr>
            </w:pPr>
            <w:r>
              <w:rPr>
                <w:b/>
                <w:szCs w:val="22"/>
              </w:rPr>
              <w:t>Soggetti destinatari</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2734FA">
            <w:pPr>
              <w:pStyle w:val="Titolo3"/>
              <w:snapToGrid w:val="0"/>
            </w:pPr>
            <w:r>
              <w:rPr>
                <w:rFonts w:cs="Times New Roman"/>
                <w:color w:val="auto"/>
                <w:sz w:val="22"/>
                <w:szCs w:val="22"/>
                <w:shd w:val="clear" w:color="auto" w:fill="auto"/>
              </w:rPr>
              <w:t>Personale non dirigente del</w:t>
            </w:r>
            <w:r>
              <w:rPr>
                <w:color w:val="000000"/>
                <w:shd w:val="clear" w:color="auto" w:fill="auto"/>
              </w:rPr>
              <w:t xml:space="preserve"> </w:t>
            </w:r>
            <w:r>
              <w:rPr>
                <w:color w:val="000000"/>
                <w:sz w:val="22"/>
                <w:szCs w:val="22"/>
                <w:shd w:val="clear" w:color="auto" w:fill="auto"/>
              </w:rPr>
              <w:t>Comune di Goni</w:t>
            </w:r>
          </w:p>
          <w:p w:rsidR="003620F3" w:rsidRDefault="003620F3">
            <w:pPr>
              <w:pStyle w:val="Standard"/>
              <w:ind w:firstLine="0"/>
              <w:rPr>
                <w:color w:val="000000"/>
                <w:szCs w:val="22"/>
              </w:rPr>
            </w:pPr>
          </w:p>
        </w:tc>
      </w:tr>
      <w:tr w:rsidR="003620F3">
        <w:tblPrEx>
          <w:tblCellMar>
            <w:top w:w="0" w:type="dxa"/>
            <w:bottom w:w="0" w:type="dxa"/>
          </w:tblCellMar>
        </w:tblPrEx>
        <w:trPr>
          <w:trHeight w:val="724"/>
        </w:trPr>
        <w:tc>
          <w:tcPr>
            <w:tcW w:w="33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jc w:val="left"/>
              <w:rPr>
                <w:b/>
                <w:szCs w:val="22"/>
              </w:rPr>
            </w:pPr>
            <w:r>
              <w:rPr>
                <w:b/>
                <w:szCs w:val="22"/>
              </w:rPr>
              <w:t>Materie trattate dal contratto integrativo (descrizione sintetica)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2734FA">
            <w:pPr>
              <w:pStyle w:val="Standard"/>
              <w:snapToGrid w:val="0"/>
              <w:ind w:left="720" w:firstLine="0"/>
              <w:rPr>
                <w:szCs w:val="22"/>
              </w:rPr>
            </w:pPr>
            <w:r>
              <w:rPr>
                <w:szCs w:val="22"/>
              </w:rPr>
              <w:t xml:space="preserve">Si rinvia per un dettaglio esaustivo al Modulo 2  Illustrazione dell’articolato del </w:t>
            </w:r>
            <w:r>
              <w:rPr>
                <w:szCs w:val="22"/>
              </w:rPr>
              <w:t>contratto</w:t>
            </w:r>
          </w:p>
          <w:p w:rsidR="003620F3" w:rsidRDefault="003620F3">
            <w:pPr>
              <w:pStyle w:val="Standard"/>
              <w:ind w:left="720" w:firstLine="0"/>
              <w:rPr>
                <w:szCs w:val="22"/>
              </w:rPr>
            </w:pPr>
          </w:p>
        </w:tc>
      </w:tr>
      <w:tr w:rsidR="003620F3">
        <w:tblPrEx>
          <w:tblCellMar>
            <w:top w:w="0" w:type="dxa"/>
            <w:bottom w:w="0" w:type="dxa"/>
          </w:tblCellMar>
        </w:tblPrEx>
        <w:trPr>
          <w:cantSplit/>
          <w:trHeight w:val="1107"/>
        </w:trPr>
        <w:tc>
          <w:tcPr>
            <w:tcW w:w="142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left="113" w:right="113" w:firstLine="0"/>
              <w:jc w:val="center"/>
              <w:rPr>
                <w:b/>
                <w:szCs w:val="22"/>
                <w:eastAsianLayout w:id="1270511360" w:vert="1" w:vertCompress="1"/>
              </w:rPr>
            </w:pPr>
            <w:r>
              <w:rPr>
                <w:b/>
                <w:szCs w:val="22"/>
                <w:eastAsianLayout w:id="1270511360" w:vert="1" w:vertCompress="1"/>
              </w:rPr>
              <w:t>Rispetto dell’iter</w:t>
            </w:r>
          </w:p>
          <w:p w:rsidR="003620F3" w:rsidRDefault="002734FA">
            <w:pPr>
              <w:pStyle w:val="Standard"/>
              <w:ind w:left="113" w:right="113" w:firstLine="0"/>
              <w:jc w:val="center"/>
              <w:rPr>
                <w:b/>
                <w:szCs w:val="22"/>
                <w:eastAsianLayout w:id="1270511361" w:vert="1" w:vertCompress="1"/>
              </w:rPr>
            </w:pPr>
            <w:r>
              <w:rPr>
                <w:b/>
                <w:szCs w:val="22"/>
                <w:eastAsianLayout w:id="1270511361" w:vert="1" w:vertCompress="1"/>
              </w:rPr>
              <w:lastRenderedPageBreak/>
              <w:t>adempimenti procedurale</w:t>
            </w:r>
          </w:p>
          <w:p w:rsidR="003620F3" w:rsidRDefault="002734FA">
            <w:pPr>
              <w:pStyle w:val="Standard"/>
              <w:ind w:left="113" w:right="113" w:firstLine="0"/>
              <w:jc w:val="center"/>
              <w:rPr>
                <w:b/>
                <w:szCs w:val="22"/>
                <w:eastAsianLayout w:id="1270511362" w:vert="1" w:vertCompress="1"/>
              </w:rPr>
            </w:pPr>
            <w:r>
              <w:rPr>
                <w:b/>
                <w:szCs w:val="22"/>
                <w:eastAsianLayout w:id="1270511362" w:vert="1" w:vertCompress="1"/>
              </w:rPr>
              <w:t xml:space="preserve"> e degli atti propedeutici e successivi alla contrattazione</w:t>
            </w:r>
          </w:p>
        </w:tc>
        <w:tc>
          <w:tcPr>
            <w:tcW w:w="19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jc w:val="left"/>
              <w:rPr>
                <w:b/>
                <w:szCs w:val="22"/>
              </w:rPr>
            </w:pPr>
            <w:r>
              <w:rPr>
                <w:b/>
                <w:szCs w:val="22"/>
              </w:rPr>
              <w:lastRenderedPageBreak/>
              <w:t>Intervento dell’Organo di controllo interno.</w:t>
            </w:r>
          </w:p>
          <w:p w:rsidR="003620F3" w:rsidRDefault="002734FA">
            <w:pPr>
              <w:pStyle w:val="Standard"/>
              <w:ind w:firstLine="0"/>
              <w:jc w:val="left"/>
              <w:rPr>
                <w:b/>
                <w:szCs w:val="22"/>
              </w:rPr>
            </w:pPr>
            <w:r>
              <w:rPr>
                <w:b/>
                <w:szCs w:val="22"/>
              </w:rPr>
              <w:t>Allegazione della Certificazione dell’Organo di controllo interno alla Relazione illustrativa.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ind w:firstLine="0"/>
              <w:rPr>
                <w:szCs w:val="22"/>
              </w:rPr>
            </w:pPr>
            <w:r>
              <w:rPr>
                <w:szCs w:val="22"/>
              </w:rPr>
              <w:t>L’organo interno, poiché l’Ente non ha stanziato risorse di  cui all’art. 15 comma 2 del CCNL 1.4.1999 non dovrà rilasciare successiva certificazione, in seguito alla stipula del presente contratto.</w:t>
            </w:r>
          </w:p>
        </w:tc>
      </w:tr>
      <w:tr w:rsidR="003620F3">
        <w:tblPrEx>
          <w:tblCellMar>
            <w:top w:w="0" w:type="dxa"/>
            <w:bottom w:w="0" w:type="dxa"/>
          </w:tblCellMar>
        </w:tblPrEx>
        <w:trPr>
          <w:cantSplit/>
          <w:trHeight w:val="919"/>
        </w:trPr>
        <w:tc>
          <w:tcPr>
            <w:tcW w:w="14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19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3620F3">
            <w:pPr>
              <w:pStyle w:val="Standard"/>
              <w:snapToGrid w:val="0"/>
              <w:ind w:firstLine="0"/>
              <w:rPr>
                <w:b/>
                <w:szCs w:val="22"/>
              </w:rPr>
            </w:pPr>
          </w:p>
          <w:p w:rsidR="003620F3" w:rsidRDefault="002734FA">
            <w:pPr>
              <w:pStyle w:val="Standard"/>
              <w:ind w:firstLine="0"/>
              <w:jc w:val="left"/>
              <w:rPr>
                <w:szCs w:val="22"/>
              </w:rPr>
            </w:pPr>
            <w:r>
              <w:rPr>
                <w:szCs w:val="22"/>
              </w:rPr>
              <w:t>L’unica certificazione dovuta è quella del Revisore d</w:t>
            </w:r>
            <w:r>
              <w:rPr>
                <w:szCs w:val="22"/>
              </w:rPr>
              <w:t>ei Conti a cui è indirizzata tale relazione.</w:t>
            </w:r>
          </w:p>
          <w:p w:rsidR="003620F3" w:rsidRDefault="002734FA">
            <w:pPr>
              <w:pStyle w:val="Standard"/>
              <w:ind w:firstLine="0"/>
              <w:jc w:val="left"/>
            </w:pPr>
            <w:r>
              <w:rPr>
                <w:szCs w:val="22"/>
              </w:rPr>
              <w:t>In data 28/10/2016</w:t>
            </w:r>
            <w:r>
              <w:rPr>
                <w:rFonts w:cs="Tahoma"/>
                <w:color w:val="FF6600"/>
                <w:sz w:val="20"/>
                <w:szCs w:val="20"/>
                <w:lang w:eastAsia="it-IT"/>
              </w:rPr>
              <w:t xml:space="preserve"> </w:t>
            </w:r>
            <w:r>
              <w:rPr>
                <w:szCs w:val="22"/>
              </w:rPr>
              <w:t>è stata acquisita la certificazione dell’Organo di controllo interno.</w:t>
            </w:r>
          </w:p>
        </w:tc>
      </w:tr>
      <w:tr w:rsidR="003620F3">
        <w:tblPrEx>
          <w:tblCellMar>
            <w:top w:w="0" w:type="dxa"/>
            <w:bottom w:w="0" w:type="dxa"/>
          </w:tblCellMar>
        </w:tblPrEx>
        <w:trPr>
          <w:cantSplit/>
          <w:trHeight w:val="600"/>
        </w:trPr>
        <w:tc>
          <w:tcPr>
            <w:tcW w:w="14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19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jc w:val="left"/>
              <w:rPr>
                <w:b/>
                <w:szCs w:val="22"/>
              </w:rPr>
            </w:pPr>
            <w:r>
              <w:rPr>
                <w:b/>
                <w:szCs w:val="22"/>
              </w:rPr>
              <w:t xml:space="preserve">Attestazione del rispetto degli obblighi di legge </w:t>
            </w:r>
            <w:r>
              <w:rPr>
                <w:b/>
                <w:szCs w:val="22"/>
              </w:rPr>
              <w:lastRenderedPageBreak/>
              <w:t xml:space="preserve">che in caso di inadempimento comportano la sanzione del divieto di </w:t>
            </w:r>
            <w:r>
              <w:rPr>
                <w:b/>
                <w:szCs w:val="22"/>
              </w:rPr>
              <w:t>erogazione della retribuzione  accessoria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pPr>
            <w:r>
              <w:rPr>
                <w:szCs w:val="22"/>
              </w:rPr>
              <w:lastRenderedPageBreak/>
              <w:t>È stato adottato il Piano della performance 2016 previsto dall’art. 10 del d.lgs. 150/2009 con Delibera del Giunta Comunale n. 13 del 09/03/2016.</w:t>
            </w:r>
          </w:p>
        </w:tc>
      </w:tr>
      <w:tr w:rsidR="003620F3">
        <w:tblPrEx>
          <w:tblCellMar>
            <w:top w:w="0" w:type="dxa"/>
            <w:bottom w:w="0" w:type="dxa"/>
          </w:tblCellMar>
        </w:tblPrEx>
        <w:trPr>
          <w:cantSplit/>
          <w:trHeight w:val="500"/>
        </w:trPr>
        <w:tc>
          <w:tcPr>
            <w:tcW w:w="14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19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rPr>
                <w:rFonts w:cs="Tahoma"/>
                <w:sz w:val="20"/>
                <w:szCs w:val="20"/>
                <w:lang w:eastAsia="it-IT"/>
              </w:rPr>
            </w:pPr>
            <w:r>
              <w:rPr>
                <w:rFonts w:cs="Tahoma"/>
                <w:sz w:val="20"/>
                <w:szCs w:val="20"/>
                <w:lang w:eastAsia="it-IT"/>
              </w:rPr>
              <w:t xml:space="preserve">CASO A) E’ stato adottato il Programma triennale per la </w:t>
            </w:r>
            <w:r>
              <w:rPr>
                <w:rFonts w:cs="Tahoma"/>
                <w:sz w:val="20"/>
                <w:szCs w:val="20"/>
                <w:lang w:eastAsia="it-IT"/>
              </w:rPr>
              <w:t>trasparenza e l’integrità con Delibera di Giunta Comunale del 09/03/2016 n. 13 e l’Amministrazione sta procedendo alla pubblicazione degli atti obbligatori previsti dalle norme sul sito internet all’interno della sezione “AMMINISTRAZIONE TRASPARENTE” ai se</w:t>
            </w:r>
            <w:r>
              <w:rPr>
                <w:rFonts w:cs="Tahoma"/>
                <w:sz w:val="20"/>
                <w:szCs w:val="20"/>
                <w:lang w:eastAsia="it-IT"/>
              </w:rPr>
              <w:t>nsi del D.lgs 33/2013</w:t>
            </w:r>
          </w:p>
          <w:p w:rsidR="003620F3" w:rsidRDefault="003620F3">
            <w:pPr>
              <w:pStyle w:val="Standard"/>
              <w:ind w:firstLine="0"/>
              <w:rPr>
                <w:rFonts w:cs="Tahoma"/>
                <w:sz w:val="20"/>
                <w:szCs w:val="20"/>
                <w:lang w:eastAsia="it-IT"/>
              </w:rPr>
            </w:pPr>
          </w:p>
          <w:p w:rsidR="003620F3" w:rsidRDefault="002734FA">
            <w:pPr>
              <w:pStyle w:val="Standard"/>
              <w:ind w:firstLine="0"/>
              <w:jc w:val="left"/>
              <w:rPr>
                <w:rFonts w:cs="Tahoma"/>
                <w:sz w:val="20"/>
                <w:szCs w:val="20"/>
                <w:lang w:eastAsia="it-IT"/>
              </w:rPr>
            </w:pPr>
            <w:r>
              <w:rPr>
                <w:rFonts w:cs="Tahoma"/>
                <w:sz w:val="20"/>
                <w:szCs w:val="20"/>
                <w:lang w:eastAsia="it-IT"/>
              </w:rPr>
              <w:t>È stato assolto l’obbligo di pubblicazione di cui al D.lgs 33/2013, come da attestazioni del Nucleo di Valutazione/OIV pubblicata nella sezione Amministrazione Trasparente del Sito Ufficiale dell’Ente.</w:t>
            </w:r>
          </w:p>
          <w:p w:rsidR="003620F3" w:rsidRDefault="003620F3">
            <w:pPr>
              <w:pStyle w:val="Standard"/>
              <w:ind w:firstLine="0"/>
              <w:jc w:val="left"/>
              <w:rPr>
                <w:rFonts w:cs="Tahoma"/>
                <w:color w:val="FF6600"/>
                <w:sz w:val="20"/>
                <w:szCs w:val="20"/>
                <w:lang w:eastAsia="it-IT"/>
              </w:rPr>
            </w:pPr>
          </w:p>
        </w:tc>
      </w:tr>
      <w:tr w:rsidR="003620F3">
        <w:tblPrEx>
          <w:tblCellMar>
            <w:top w:w="0" w:type="dxa"/>
            <w:bottom w:w="0" w:type="dxa"/>
          </w:tblCellMar>
        </w:tblPrEx>
        <w:trPr>
          <w:cantSplit/>
          <w:trHeight w:val="610"/>
        </w:trPr>
        <w:tc>
          <w:tcPr>
            <w:tcW w:w="14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19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suppressAutoHyphens w:val="0"/>
              <w:rPr>
                <w:rFonts w:hint="eastAsia"/>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ind w:firstLine="0"/>
            </w:pPr>
            <w:r>
              <w:rPr>
                <w:szCs w:val="22"/>
              </w:rPr>
              <w:t xml:space="preserve">L’organo di valutazione ha </w:t>
            </w:r>
            <w:r>
              <w:rPr>
                <w:szCs w:val="22"/>
              </w:rPr>
              <w:t>validato la relazione sulla performance relativa all’anno precedente ai sensi dell’articolo 14, comma 6. del d.lgs. n. 150/2009. La Relazione della Performance relativa all’anno corrente verrà validata in fase di consuntivazione.</w:t>
            </w:r>
          </w:p>
          <w:p w:rsidR="003620F3" w:rsidRDefault="003620F3">
            <w:pPr>
              <w:pStyle w:val="Standard"/>
              <w:ind w:firstLine="0"/>
              <w:rPr>
                <w:szCs w:val="22"/>
              </w:rPr>
            </w:pPr>
          </w:p>
        </w:tc>
      </w:tr>
      <w:tr w:rsidR="003620F3">
        <w:tblPrEx>
          <w:tblCellMar>
            <w:top w:w="0" w:type="dxa"/>
            <w:bottom w:w="0" w:type="dxa"/>
          </w:tblCellMar>
        </w:tblPrEx>
        <w:trPr>
          <w:trHeight w:val="1265"/>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F3" w:rsidRDefault="002734FA">
            <w:pPr>
              <w:pStyle w:val="Standard"/>
              <w:snapToGrid w:val="0"/>
              <w:ind w:firstLine="0"/>
              <w:rPr>
                <w:b/>
                <w:szCs w:val="22"/>
              </w:rPr>
            </w:pPr>
            <w:r>
              <w:rPr>
                <w:b/>
                <w:szCs w:val="22"/>
              </w:rPr>
              <w:t>Eventuali osservazioni:</w:t>
            </w:r>
          </w:p>
          <w:p w:rsidR="003620F3" w:rsidRDefault="003620F3">
            <w:pPr>
              <w:pStyle w:val="Standard"/>
              <w:ind w:firstLine="0"/>
              <w:rPr>
                <w:b/>
                <w:szCs w:val="22"/>
                <w:shd w:val="clear" w:color="auto" w:fill="FFFF00"/>
              </w:rPr>
            </w:pPr>
          </w:p>
        </w:tc>
      </w:tr>
    </w:tbl>
    <w:p w:rsidR="003620F3" w:rsidRDefault="003620F3">
      <w:pPr>
        <w:pStyle w:val="Standard"/>
      </w:pPr>
    </w:p>
    <w:p w:rsidR="003620F3" w:rsidRDefault="002734FA">
      <w:pPr>
        <w:pStyle w:val="Titolo2"/>
        <w:ind w:left="357"/>
        <w:jc w:val="center"/>
        <w:rPr>
          <w:color w:val="31849B"/>
          <w:szCs w:val="28"/>
          <w:shd w:val="clear" w:color="auto" w:fill="FFFFFF"/>
        </w:rPr>
      </w:pPr>
      <w:r>
        <w:rPr>
          <w:color w:val="31849B"/>
          <w:szCs w:val="28"/>
          <w:shd w:val="clear" w:color="auto" w:fill="FFFFFF"/>
        </w:rPr>
        <w:t xml:space="preserve">Modulo 2  Illustrazione dell’articolato del contratto </w:t>
      </w:r>
      <w:r>
        <w:rPr>
          <w:color w:val="31849B"/>
          <w:szCs w:val="28"/>
          <w:shd w:val="clear" w:color="auto" w:fill="FFFFFF"/>
        </w:rPr>
        <w:br/>
      </w:r>
      <w:r>
        <w:rPr>
          <w:color w:val="31849B"/>
          <w:szCs w:val="28"/>
          <w:shd w:val="clear" w:color="auto" w:fill="FFFFFF"/>
        </w:rPr>
        <w:t xml:space="preserve">(Attestazione della compatibilità con i vincoli derivanti da norme di legge e di contratto nazionale –modalità di utilizzo delle risorse accessorie </w:t>
      </w:r>
      <w:r>
        <w:rPr>
          <w:color w:val="31849B"/>
          <w:szCs w:val="28"/>
          <w:shd w:val="clear" w:color="auto" w:fill="FFFFFF"/>
        </w:rPr>
        <w:noBreakHyphen/>
        <w:t xml:space="preserve"> risultati attesi  </w:t>
      </w:r>
      <w:r>
        <w:rPr>
          <w:color w:val="31849B"/>
          <w:szCs w:val="28"/>
          <w:shd w:val="clear" w:color="auto" w:fill="FFFFFF"/>
        </w:rPr>
        <w:noBreakHyphen/>
        <w:t xml:space="preserve"> altre informazioni utili)</w:t>
      </w:r>
    </w:p>
    <w:p w:rsidR="003620F3" w:rsidRDefault="002734FA">
      <w:pPr>
        <w:pStyle w:val="PuntoElencoLettere"/>
        <w:numPr>
          <w:ilvl w:val="0"/>
          <w:numId w:val="0"/>
        </w:numPr>
        <w:tabs>
          <w:tab w:val="clear" w:pos="-873"/>
          <w:tab w:val="left" w:pos="2268"/>
        </w:tabs>
        <w:ind w:left="1134" w:hanging="567"/>
        <w:rPr>
          <w:b/>
          <w:i/>
          <w:szCs w:val="22"/>
        </w:rPr>
      </w:pPr>
      <w:r>
        <w:rPr>
          <w:b/>
          <w:i/>
          <w:szCs w:val="22"/>
        </w:rPr>
        <w:t xml:space="preserve">a) illustrazione di quanto disposto dal contratto integrativo, in modo da fornire un quadro esaustivo della regolamentazione di ogni ambito/materia e delle norme legislative e contrattuali che legittimano la </w:t>
      </w:r>
      <w:r>
        <w:rPr>
          <w:b/>
          <w:i/>
          <w:szCs w:val="22"/>
        </w:rPr>
        <w:t>contrattazione integrativa della specifica materia trattata;</w:t>
      </w:r>
    </w:p>
    <w:p w:rsidR="003620F3" w:rsidRDefault="002734FA">
      <w:pPr>
        <w:pStyle w:val="Standard"/>
        <w:ind w:left="1080" w:firstLine="0"/>
      </w:pPr>
      <w:r>
        <w:rPr>
          <w:szCs w:val="22"/>
        </w:rPr>
        <w:t xml:space="preserve">Per l’anno 2016 già con la determina di costituzione del Fondo n. 50 del 07.09.2016, il Dott. Domenico Delussu ha reso indisponibile alla contrattazione ai sensi dell’art. 17 comma 2 lett. b del </w:t>
      </w:r>
      <w:r>
        <w:rPr>
          <w:szCs w:val="22"/>
        </w:rPr>
        <w:t>CCNL 1.4.1999 e dell’art.33 del CCNL 22.1.2004 alcuni compensi gravanti sul fondo (indennità di comparto, incrementi per progressione economica, ecc) e in particolare è stato sottratto dalle risorse ancora contrattabili un importo complessivo pari ad € 9.9</w:t>
      </w:r>
      <w:r>
        <w:rPr>
          <w:szCs w:val="22"/>
        </w:rPr>
        <w:t>25,81, destinato a retribuire le indennità fisse e ricorrenti già determinate negli anni precedenti.</w:t>
      </w:r>
    </w:p>
    <w:p w:rsidR="003620F3" w:rsidRDefault="002734FA">
      <w:pPr>
        <w:pStyle w:val="Standard"/>
        <w:ind w:left="1080" w:firstLine="0"/>
      </w:pPr>
      <w:r>
        <w:rPr>
          <w:szCs w:val="22"/>
        </w:rPr>
        <w:lastRenderedPageBreak/>
        <w:t xml:space="preserve">Per quanto riguarda il contratto decentrato per le risorse all’anno 2016 le delegazioni hanno confermato la destinazione delle risorse già in essere negli </w:t>
      </w:r>
      <w:r>
        <w:rPr>
          <w:szCs w:val="22"/>
        </w:rPr>
        <w:t xml:space="preserve">anni precedenti, destinando </w:t>
      </w:r>
      <w:r>
        <w:rPr>
          <w:i/>
          <w:szCs w:val="22"/>
        </w:rPr>
        <w:t>inoltre per l’anno</w:t>
      </w:r>
      <w:r>
        <w:rPr>
          <w:szCs w:val="22"/>
        </w:rPr>
        <w:t>:</w:t>
      </w:r>
    </w:p>
    <w:p w:rsidR="003620F3" w:rsidRDefault="003620F3">
      <w:pPr>
        <w:pStyle w:val="Standard"/>
        <w:rPr>
          <w:szCs w:val="22"/>
        </w:rPr>
      </w:pPr>
    </w:p>
    <w:p w:rsidR="003620F3" w:rsidRDefault="002734FA">
      <w:pPr>
        <w:pStyle w:val="Standard"/>
        <w:numPr>
          <w:ilvl w:val="0"/>
          <w:numId w:val="31"/>
        </w:numPr>
      </w:pPr>
      <w:r>
        <w:rPr>
          <w:szCs w:val="22"/>
        </w:rPr>
        <w:t>Indennità di rischio specificatamente contrattate nel CCDI dell'anno (</w:t>
      </w:r>
      <w:r>
        <w:rPr>
          <w:i/>
          <w:szCs w:val="22"/>
        </w:rPr>
        <w:t>art. 17 comma 2 lett. d CCNL 1.4.1999</w:t>
      </w:r>
      <w:r>
        <w:rPr>
          <w:szCs w:val="22"/>
        </w:rPr>
        <w:t>)  € 330,00</w:t>
      </w:r>
    </w:p>
    <w:p w:rsidR="003620F3" w:rsidRDefault="002734FA">
      <w:pPr>
        <w:pStyle w:val="Standard"/>
        <w:rPr>
          <w:rFonts w:cs="Tahoma"/>
          <w:color w:val="FF6600"/>
          <w:sz w:val="20"/>
          <w:szCs w:val="22"/>
          <w:lang w:eastAsia="it-IT"/>
        </w:rPr>
      </w:pPr>
      <w:r>
        <w:rPr>
          <w:rFonts w:cs="Tahoma"/>
          <w:color w:val="FF6600"/>
          <w:sz w:val="20"/>
          <w:szCs w:val="22"/>
          <w:lang w:eastAsia="it-IT"/>
        </w:rPr>
        <w:t>Si veda l'allegato accordo del 5.10.2016 per i dettagli</w:t>
      </w:r>
    </w:p>
    <w:p w:rsidR="003620F3" w:rsidRDefault="003620F3">
      <w:pPr>
        <w:pStyle w:val="Standard"/>
        <w:rPr>
          <w:rFonts w:cs="Tahoma"/>
          <w:color w:val="FF6600"/>
          <w:sz w:val="20"/>
          <w:szCs w:val="20"/>
          <w:lang w:eastAsia="it-IT"/>
        </w:rPr>
      </w:pPr>
    </w:p>
    <w:tbl>
      <w:tblPr>
        <w:tblW w:w="7135" w:type="dxa"/>
        <w:tblInd w:w="-70" w:type="dxa"/>
        <w:tblLayout w:type="fixed"/>
        <w:tblCellMar>
          <w:left w:w="10" w:type="dxa"/>
          <w:right w:w="10" w:type="dxa"/>
        </w:tblCellMar>
        <w:tblLook w:val="04A0" w:firstRow="1" w:lastRow="0" w:firstColumn="1" w:lastColumn="0" w:noHBand="0" w:noVBand="1"/>
      </w:tblPr>
      <w:tblGrid>
        <w:gridCol w:w="3406"/>
        <w:gridCol w:w="1344"/>
        <w:gridCol w:w="2385"/>
      </w:tblGrid>
      <w:tr w:rsidR="003620F3">
        <w:tblPrEx>
          <w:tblCellMar>
            <w:top w:w="0" w:type="dxa"/>
            <w:bottom w:w="0" w:type="dxa"/>
          </w:tblCellMar>
        </w:tblPrEx>
        <w:trPr>
          <w:trHeight w:val="618"/>
        </w:trPr>
        <w:tc>
          <w:tcPr>
            <w:tcW w:w="3406" w:type="dxa"/>
            <w:tcBorders>
              <w:top w:val="single" w:sz="4" w:space="0" w:color="000001"/>
              <w:left w:val="single" w:sz="4" w:space="0" w:color="000001"/>
              <w:bottom w:val="single" w:sz="4" w:space="0" w:color="000001"/>
            </w:tcBorders>
            <w:shd w:val="clear" w:color="auto" w:fill="auto"/>
            <w:tcMar>
              <w:top w:w="70" w:type="dxa"/>
              <w:left w:w="0" w:type="dxa"/>
              <w:bottom w:w="0" w:type="dxa"/>
              <w:right w:w="70" w:type="dxa"/>
            </w:tcMar>
            <w:vAlign w:val="center"/>
          </w:tcPr>
          <w:p w:rsidR="003620F3" w:rsidRDefault="002734FA">
            <w:pPr>
              <w:pStyle w:val="Standard"/>
              <w:jc w:val="center"/>
              <w:rPr>
                <w:rFonts w:cs="Garamond"/>
                <w:b/>
                <w:i/>
                <w:sz w:val="24"/>
              </w:rPr>
            </w:pPr>
            <w:r>
              <w:rPr>
                <w:rFonts w:cs="Garamond"/>
                <w:b/>
                <w:i/>
                <w:sz w:val="24"/>
              </w:rPr>
              <w:t>PROFILO PROFESSIONALE</w:t>
            </w:r>
          </w:p>
        </w:tc>
        <w:tc>
          <w:tcPr>
            <w:tcW w:w="1344" w:type="dxa"/>
            <w:tcBorders>
              <w:top w:val="single" w:sz="4" w:space="0" w:color="000001"/>
              <w:left w:val="single" w:sz="4" w:space="0" w:color="000001"/>
              <w:bottom w:val="single" w:sz="4" w:space="0" w:color="000001"/>
            </w:tcBorders>
            <w:shd w:val="clear" w:color="auto" w:fill="auto"/>
            <w:tcMar>
              <w:top w:w="70" w:type="dxa"/>
              <w:left w:w="0" w:type="dxa"/>
              <w:bottom w:w="0" w:type="dxa"/>
              <w:right w:w="70" w:type="dxa"/>
            </w:tcMar>
            <w:vAlign w:val="center"/>
          </w:tcPr>
          <w:p w:rsidR="003620F3" w:rsidRDefault="002734FA">
            <w:pPr>
              <w:pStyle w:val="Standard"/>
              <w:ind w:firstLine="0"/>
              <w:jc w:val="center"/>
              <w:rPr>
                <w:rFonts w:cs="Garamond"/>
                <w:b/>
                <w:i/>
                <w:sz w:val="24"/>
              </w:rPr>
            </w:pPr>
            <w:r>
              <w:rPr>
                <w:rFonts w:cs="Garamond"/>
                <w:b/>
                <w:i/>
                <w:sz w:val="24"/>
              </w:rPr>
              <w:t>N.  ADDET</w:t>
            </w:r>
            <w:r>
              <w:rPr>
                <w:rFonts w:cs="Garamond"/>
                <w:b/>
                <w:i/>
                <w:sz w:val="24"/>
              </w:rPr>
              <w:t>TI</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top w:w="70" w:type="dxa"/>
              <w:left w:w="0" w:type="dxa"/>
              <w:bottom w:w="0" w:type="dxa"/>
              <w:right w:w="70" w:type="dxa"/>
            </w:tcMar>
            <w:vAlign w:val="center"/>
          </w:tcPr>
          <w:p w:rsidR="003620F3" w:rsidRDefault="002734FA">
            <w:pPr>
              <w:pStyle w:val="Standard"/>
              <w:ind w:firstLine="0"/>
              <w:jc w:val="center"/>
              <w:rPr>
                <w:rFonts w:cs="Garamond"/>
                <w:b/>
                <w:i/>
                <w:sz w:val="24"/>
              </w:rPr>
            </w:pPr>
            <w:r>
              <w:rPr>
                <w:rFonts w:cs="Garamond"/>
                <w:b/>
                <w:i/>
                <w:sz w:val="24"/>
              </w:rPr>
              <w:t>SOMMA  PREVISTA</w:t>
            </w:r>
          </w:p>
        </w:tc>
      </w:tr>
      <w:tr w:rsidR="003620F3">
        <w:tblPrEx>
          <w:tblCellMar>
            <w:top w:w="0" w:type="dxa"/>
            <w:bottom w:w="0" w:type="dxa"/>
          </w:tblCellMar>
        </w:tblPrEx>
        <w:trPr>
          <w:trHeight w:val="428"/>
        </w:trPr>
        <w:tc>
          <w:tcPr>
            <w:tcW w:w="3406" w:type="dxa"/>
            <w:tcBorders>
              <w:top w:val="single" w:sz="4" w:space="0" w:color="000001"/>
              <w:left w:val="single" w:sz="4" w:space="0" w:color="000001"/>
              <w:bottom w:val="single" w:sz="4" w:space="0" w:color="000001"/>
            </w:tcBorders>
            <w:shd w:val="clear" w:color="auto" w:fill="auto"/>
            <w:tcMar>
              <w:top w:w="70" w:type="dxa"/>
              <w:left w:w="0" w:type="dxa"/>
              <w:bottom w:w="0" w:type="dxa"/>
              <w:right w:w="70" w:type="dxa"/>
            </w:tcMar>
          </w:tcPr>
          <w:p w:rsidR="003620F3" w:rsidRDefault="002734FA">
            <w:pPr>
              <w:pStyle w:val="Standard"/>
              <w:jc w:val="center"/>
              <w:rPr>
                <w:rFonts w:cs="Garamond"/>
                <w:sz w:val="24"/>
              </w:rPr>
            </w:pPr>
            <w:r>
              <w:rPr>
                <w:rFonts w:cs="Garamond"/>
                <w:sz w:val="24"/>
              </w:rPr>
              <w:t>OPERAIO/NECROFORO</w:t>
            </w:r>
          </w:p>
        </w:tc>
        <w:tc>
          <w:tcPr>
            <w:tcW w:w="1344" w:type="dxa"/>
            <w:tcBorders>
              <w:top w:val="single" w:sz="4" w:space="0" w:color="000001"/>
              <w:left w:val="single" w:sz="4" w:space="0" w:color="000001"/>
              <w:bottom w:val="single" w:sz="4" w:space="0" w:color="000001"/>
            </w:tcBorders>
            <w:shd w:val="clear" w:color="auto" w:fill="auto"/>
            <w:tcMar>
              <w:top w:w="70" w:type="dxa"/>
              <w:left w:w="0" w:type="dxa"/>
              <w:bottom w:w="0" w:type="dxa"/>
              <w:right w:w="70" w:type="dxa"/>
            </w:tcMar>
          </w:tcPr>
          <w:p w:rsidR="003620F3" w:rsidRDefault="002734FA">
            <w:pPr>
              <w:pStyle w:val="Standard"/>
              <w:jc w:val="center"/>
              <w:rPr>
                <w:rFonts w:cs="Garamond"/>
                <w:sz w:val="24"/>
              </w:rPr>
            </w:pPr>
            <w:r>
              <w:rPr>
                <w:rFonts w:cs="Garamond"/>
                <w:sz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top w:w="70" w:type="dxa"/>
              <w:left w:w="0" w:type="dxa"/>
              <w:bottom w:w="0" w:type="dxa"/>
              <w:right w:w="70" w:type="dxa"/>
            </w:tcMar>
          </w:tcPr>
          <w:p w:rsidR="003620F3" w:rsidRDefault="002734FA">
            <w:pPr>
              <w:pStyle w:val="Standard"/>
              <w:jc w:val="center"/>
              <w:rPr>
                <w:rFonts w:cs="Garamond"/>
                <w:sz w:val="24"/>
              </w:rPr>
            </w:pPr>
            <w:r>
              <w:rPr>
                <w:rFonts w:cs="Garamond"/>
                <w:sz w:val="24"/>
              </w:rPr>
              <w:t>€ 330,00</w:t>
            </w:r>
          </w:p>
        </w:tc>
      </w:tr>
      <w:tr w:rsidR="003620F3">
        <w:tblPrEx>
          <w:tblCellMar>
            <w:top w:w="0" w:type="dxa"/>
            <w:bottom w:w="0" w:type="dxa"/>
          </w:tblCellMar>
        </w:tblPrEx>
        <w:trPr>
          <w:trHeight w:val="428"/>
        </w:trPr>
        <w:tc>
          <w:tcPr>
            <w:tcW w:w="3406" w:type="dxa"/>
            <w:tcBorders>
              <w:top w:val="single" w:sz="4" w:space="0" w:color="000001"/>
              <w:left w:val="single" w:sz="4" w:space="0" w:color="000001"/>
              <w:bottom w:val="single" w:sz="4" w:space="0" w:color="000001"/>
            </w:tcBorders>
            <w:shd w:val="clear" w:color="auto" w:fill="auto"/>
            <w:tcMar>
              <w:top w:w="70" w:type="dxa"/>
              <w:left w:w="0" w:type="dxa"/>
              <w:bottom w:w="0" w:type="dxa"/>
              <w:right w:w="70" w:type="dxa"/>
            </w:tcMar>
          </w:tcPr>
          <w:p w:rsidR="003620F3" w:rsidRDefault="002734FA">
            <w:pPr>
              <w:pStyle w:val="Standard"/>
              <w:rPr>
                <w:rFonts w:cs="Garamond"/>
                <w:b/>
                <w:sz w:val="24"/>
              </w:rPr>
            </w:pPr>
            <w:r>
              <w:rPr>
                <w:rFonts w:cs="Garamond"/>
                <w:b/>
                <w:sz w:val="24"/>
              </w:rPr>
              <w:t>TOTALE ANNUALE</w:t>
            </w:r>
          </w:p>
        </w:tc>
        <w:tc>
          <w:tcPr>
            <w:tcW w:w="1344" w:type="dxa"/>
            <w:tcBorders>
              <w:top w:val="single" w:sz="4" w:space="0" w:color="000001"/>
              <w:left w:val="single" w:sz="4" w:space="0" w:color="000001"/>
              <w:bottom w:val="single" w:sz="4" w:space="0" w:color="000001"/>
            </w:tcBorders>
            <w:shd w:val="clear" w:color="auto" w:fill="auto"/>
            <w:tcMar>
              <w:top w:w="70" w:type="dxa"/>
              <w:left w:w="0" w:type="dxa"/>
              <w:bottom w:w="0" w:type="dxa"/>
              <w:right w:w="70" w:type="dxa"/>
            </w:tcMar>
          </w:tcPr>
          <w:p w:rsidR="003620F3" w:rsidRDefault="003620F3">
            <w:pPr>
              <w:pStyle w:val="Standard"/>
              <w:jc w:val="center"/>
              <w:rPr>
                <w:rFonts w:cs="Garamond"/>
                <w:sz w:val="24"/>
              </w:rPr>
            </w:pP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top w:w="70" w:type="dxa"/>
              <w:left w:w="0" w:type="dxa"/>
              <w:bottom w:w="0" w:type="dxa"/>
              <w:right w:w="70" w:type="dxa"/>
            </w:tcMar>
          </w:tcPr>
          <w:p w:rsidR="003620F3" w:rsidRDefault="002734FA">
            <w:pPr>
              <w:pStyle w:val="Standard"/>
              <w:jc w:val="center"/>
              <w:rPr>
                <w:rFonts w:cs="Garamond"/>
                <w:b/>
                <w:sz w:val="24"/>
              </w:rPr>
            </w:pPr>
            <w:r>
              <w:rPr>
                <w:rFonts w:cs="Garamond"/>
                <w:b/>
                <w:sz w:val="24"/>
              </w:rPr>
              <w:t>€ 330,00</w:t>
            </w:r>
          </w:p>
        </w:tc>
      </w:tr>
    </w:tbl>
    <w:p w:rsidR="003620F3" w:rsidRDefault="003620F3">
      <w:pPr>
        <w:pStyle w:val="Standard"/>
        <w:rPr>
          <w:rFonts w:cs="Tahoma"/>
          <w:color w:val="FF6600"/>
          <w:sz w:val="20"/>
          <w:szCs w:val="22"/>
          <w:lang w:eastAsia="it-IT"/>
        </w:rPr>
      </w:pPr>
    </w:p>
    <w:p w:rsidR="003620F3" w:rsidRDefault="002734FA">
      <w:pPr>
        <w:pStyle w:val="Standard"/>
        <w:rPr>
          <w:i/>
          <w:szCs w:val="22"/>
        </w:rPr>
      </w:pPr>
      <w:r>
        <w:rPr>
          <w:i/>
          <w:szCs w:val="22"/>
        </w:rPr>
        <w:t>RIFERIMENTI NORMATIVI/CONTRATTUALI:</w:t>
      </w:r>
    </w:p>
    <w:p w:rsidR="003620F3" w:rsidRDefault="002734FA">
      <w:pPr>
        <w:pStyle w:val="Standard"/>
        <w:rPr>
          <w:i/>
          <w:szCs w:val="22"/>
          <w:lang w:val="en-US"/>
        </w:rPr>
      </w:pPr>
      <w:r>
        <w:rPr>
          <w:i/>
          <w:szCs w:val="22"/>
          <w:lang w:val="en-US"/>
        </w:rPr>
        <w:t>Art. 17 comma 2 lett. d CCNL 1.4.1999</w:t>
      </w:r>
    </w:p>
    <w:p w:rsidR="003620F3" w:rsidRDefault="002734FA">
      <w:pPr>
        <w:pStyle w:val="Standard"/>
        <w:rPr>
          <w:i/>
          <w:color w:val="000000"/>
          <w:szCs w:val="22"/>
        </w:rPr>
      </w:pPr>
      <w:r>
        <w:rPr>
          <w:i/>
          <w:color w:val="000000"/>
          <w:szCs w:val="22"/>
        </w:rPr>
        <w:t xml:space="preserve">D) il pagamento delle indennità di turno, rischio, reperibilità, maneggio valori, orario notturno, </w:t>
      </w:r>
      <w:r>
        <w:rPr>
          <w:i/>
          <w:color w:val="000000"/>
          <w:szCs w:val="22"/>
        </w:rPr>
        <w:t>festivo e notturno-festivo, secondo la disciplina prevista dagli artt. 11, comma 12, 13, comma 7, e 34,comma 1, lett. f) g) ed h) del DPR 268/1987, dall’art. 28 del DPR 347/1983, dall’art. 49 del DPR 333/1990 e dalle disposizioni in vigore per le Camere di</w:t>
      </w:r>
      <w:r>
        <w:rPr>
          <w:i/>
          <w:color w:val="000000"/>
          <w:szCs w:val="22"/>
        </w:rPr>
        <w:t xml:space="preserve"> Commercio;</w:t>
      </w:r>
    </w:p>
    <w:p w:rsidR="003620F3" w:rsidRDefault="002734FA">
      <w:pPr>
        <w:pStyle w:val="Standard"/>
        <w:rPr>
          <w:i/>
          <w:szCs w:val="22"/>
        </w:rPr>
      </w:pPr>
      <w:r>
        <w:rPr>
          <w:i/>
          <w:szCs w:val="22"/>
        </w:rPr>
        <w:t>Art. 37 CCNL 14.9.2000</w:t>
      </w:r>
    </w:p>
    <w:p w:rsidR="003620F3" w:rsidRDefault="002734FA">
      <w:pPr>
        <w:pStyle w:val="Standard"/>
        <w:rPr>
          <w:i/>
          <w:color w:val="000000"/>
          <w:szCs w:val="22"/>
        </w:rPr>
      </w:pPr>
      <w:r>
        <w:rPr>
          <w:i/>
          <w:color w:val="000000"/>
          <w:szCs w:val="22"/>
        </w:rPr>
        <w:t>1. Gli enti individuano, in sede di contrattazione integrativa decentrata, le prestazioni di lavoro che comportano continua e diretta esposizione a rischi pregiudizievoli per la salute e per l’integrità personale, assicur</w:t>
      </w:r>
      <w:r>
        <w:rPr>
          <w:i/>
          <w:color w:val="000000"/>
          <w:szCs w:val="22"/>
        </w:rPr>
        <w:t>ando comunque le condizioni di rischio già riconosciute presso l’ente.</w:t>
      </w:r>
    </w:p>
    <w:p w:rsidR="003620F3" w:rsidRDefault="002734FA">
      <w:pPr>
        <w:pStyle w:val="Standard"/>
        <w:rPr>
          <w:i/>
          <w:color w:val="000000"/>
          <w:szCs w:val="22"/>
        </w:rPr>
      </w:pPr>
      <w:r>
        <w:rPr>
          <w:i/>
          <w:color w:val="000000"/>
          <w:szCs w:val="22"/>
        </w:rPr>
        <w:t xml:space="preserve">2. Ai dipendenti che svolgano le prestazioni di cui al comma 1, compete, per il periodo di effettiva  esposizione al rischio, un’ indennità mensile di L.40.000. Ai relativi oneri si fa </w:t>
      </w:r>
      <w:r>
        <w:rPr>
          <w:i/>
          <w:color w:val="000000"/>
          <w:szCs w:val="22"/>
        </w:rPr>
        <w:t>fronte, in ogni caso, con le risorse di cui all’art. 15 del CCNL dell’1.4.1999.</w:t>
      </w:r>
    </w:p>
    <w:p w:rsidR="003620F3" w:rsidRDefault="002734FA">
      <w:pPr>
        <w:pStyle w:val="Standard"/>
        <w:rPr>
          <w:i/>
          <w:color w:val="000000"/>
          <w:szCs w:val="22"/>
        </w:rPr>
      </w:pPr>
      <w:r>
        <w:rPr>
          <w:i/>
          <w:color w:val="000000"/>
          <w:szCs w:val="22"/>
        </w:rPr>
        <w:t>3. Sono fatti salvi gli accordi di miglior favore sottoscritti alla data del 30.6.2000.</w:t>
      </w:r>
    </w:p>
    <w:p w:rsidR="003620F3" w:rsidRDefault="002734FA">
      <w:pPr>
        <w:pStyle w:val="Standard"/>
        <w:rPr>
          <w:i/>
          <w:szCs w:val="22"/>
        </w:rPr>
      </w:pPr>
      <w:r>
        <w:rPr>
          <w:i/>
          <w:szCs w:val="22"/>
        </w:rPr>
        <w:t>Art. 41 CCNL 22.1.2004</w:t>
      </w:r>
    </w:p>
    <w:p w:rsidR="003620F3" w:rsidRDefault="002734FA">
      <w:pPr>
        <w:pStyle w:val="Standard"/>
        <w:rPr>
          <w:i/>
          <w:color w:val="000000"/>
          <w:szCs w:val="22"/>
        </w:rPr>
      </w:pPr>
      <w:r>
        <w:rPr>
          <w:i/>
          <w:color w:val="000000"/>
          <w:szCs w:val="22"/>
        </w:rPr>
        <w:t xml:space="preserve">1. La misura della indennità di rischio di cui all’art. 37 del </w:t>
      </w:r>
      <w:r>
        <w:rPr>
          <w:i/>
          <w:color w:val="000000"/>
          <w:szCs w:val="22"/>
        </w:rPr>
        <w:t>CCNL del 14.9.2000 è rideterminata in € 30 mensili lorde, con decorrenza dal 31.12.2003.</w:t>
      </w:r>
    </w:p>
    <w:p w:rsidR="003620F3" w:rsidRDefault="002734FA">
      <w:pPr>
        <w:pStyle w:val="Standard"/>
        <w:numPr>
          <w:ilvl w:val="0"/>
          <w:numId w:val="31"/>
        </w:numPr>
      </w:pPr>
      <w:r>
        <w:rPr>
          <w:szCs w:val="22"/>
        </w:rPr>
        <w:t>Indennità di maneggio valori specificatamente contrattate nel CCDI dell'anno (</w:t>
      </w:r>
      <w:r>
        <w:rPr>
          <w:i/>
          <w:szCs w:val="22"/>
        </w:rPr>
        <w:t>art. 17 comma 2 lett. d CCNL 1.4.1999</w:t>
      </w:r>
      <w:r>
        <w:rPr>
          <w:szCs w:val="22"/>
        </w:rPr>
        <w:t>)  € 273,98</w:t>
      </w:r>
    </w:p>
    <w:p w:rsidR="003620F3" w:rsidRDefault="003620F3">
      <w:pPr>
        <w:pStyle w:val="Standard"/>
        <w:rPr>
          <w:rFonts w:cs="Tahoma"/>
          <w:color w:val="FF6600"/>
          <w:sz w:val="20"/>
          <w:szCs w:val="20"/>
          <w:lang w:eastAsia="it-IT"/>
        </w:rPr>
      </w:pPr>
    </w:p>
    <w:tbl>
      <w:tblPr>
        <w:tblW w:w="8228" w:type="dxa"/>
        <w:tblInd w:w="-5" w:type="dxa"/>
        <w:tblLayout w:type="fixed"/>
        <w:tblCellMar>
          <w:left w:w="10" w:type="dxa"/>
          <w:right w:w="10" w:type="dxa"/>
        </w:tblCellMar>
        <w:tblLook w:val="04A0" w:firstRow="1" w:lastRow="0" w:firstColumn="1" w:lastColumn="0" w:noHBand="0" w:noVBand="1"/>
      </w:tblPr>
      <w:tblGrid>
        <w:gridCol w:w="3684"/>
        <w:gridCol w:w="1983"/>
        <w:gridCol w:w="2561"/>
      </w:tblGrid>
      <w:tr w:rsidR="003620F3">
        <w:tblPrEx>
          <w:tblCellMar>
            <w:top w:w="0" w:type="dxa"/>
            <w:bottom w:w="0" w:type="dxa"/>
          </w:tblCellMar>
        </w:tblPrEx>
        <w:trPr>
          <w:cantSplit/>
          <w:trHeight w:val="300"/>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3620F3">
            <w:pPr>
              <w:pStyle w:val="Standard"/>
              <w:tabs>
                <w:tab w:val="left" w:pos="360"/>
              </w:tabs>
              <w:ind w:firstLine="0"/>
              <w:jc w:val="center"/>
              <w:rPr>
                <w:rFonts w:cs="Tahoma"/>
                <w:b/>
                <w:sz w:val="24"/>
              </w:rPr>
            </w:pP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N. DIPENDENTI INTERESSATI</w:t>
            </w: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SOMMA PREVIS</w:t>
            </w:r>
            <w:r>
              <w:rPr>
                <w:rFonts w:cs="Tahoma"/>
                <w:b/>
                <w:sz w:val="24"/>
              </w:rPr>
              <w:t>TA</w:t>
            </w:r>
          </w:p>
        </w:tc>
      </w:tr>
      <w:tr w:rsidR="003620F3">
        <w:tblPrEx>
          <w:tblCellMar>
            <w:top w:w="0" w:type="dxa"/>
            <w:bottom w:w="0" w:type="dxa"/>
          </w:tblCellMar>
        </w:tblPrEx>
        <w:trPr>
          <w:cantSplit/>
          <w:trHeight w:val="300"/>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left"/>
              <w:rPr>
                <w:rFonts w:cs="Garamond"/>
                <w:sz w:val="24"/>
              </w:rPr>
            </w:pPr>
            <w:r>
              <w:rPr>
                <w:rFonts w:cs="Garamond"/>
                <w:sz w:val="24"/>
              </w:rPr>
              <w:t>ECONOMO</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sz w:val="24"/>
              </w:rPr>
            </w:pPr>
            <w:r>
              <w:rPr>
                <w:rFonts w:cs="Tahoma"/>
                <w:sz w:val="24"/>
              </w:rPr>
              <w:t>1</w:t>
            </w: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Garamond"/>
                <w:sz w:val="24"/>
              </w:rPr>
            </w:pPr>
            <w:r>
              <w:rPr>
                <w:rFonts w:cs="Garamond"/>
                <w:sz w:val="24"/>
              </w:rPr>
              <w:t>€    273.98</w:t>
            </w:r>
          </w:p>
        </w:tc>
      </w:tr>
      <w:tr w:rsidR="003620F3">
        <w:tblPrEx>
          <w:tblCellMar>
            <w:top w:w="0" w:type="dxa"/>
            <w:bottom w:w="0" w:type="dxa"/>
          </w:tblCellMar>
        </w:tblPrEx>
        <w:trPr>
          <w:cantSplit/>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TOTALE ANNUALE</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3620F3">
            <w:pPr>
              <w:pStyle w:val="Standard"/>
              <w:tabs>
                <w:tab w:val="left" w:pos="360"/>
              </w:tabs>
              <w:ind w:firstLine="0"/>
              <w:jc w:val="center"/>
              <w:rPr>
                <w:rFonts w:cs="Tahoma"/>
                <w:b/>
                <w:sz w:val="24"/>
              </w:rPr>
            </w:pP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Garamond"/>
                <w:b/>
                <w:sz w:val="24"/>
              </w:rPr>
            </w:pPr>
            <w:r>
              <w:rPr>
                <w:rFonts w:cs="Garamond"/>
                <w:b/>
                <w:sz w:val="24"/>
              </w:rPr>
              <w:t>€    273,98</w:t>
            </w:r>
          </w:p>
        </w:tc>
      </w:tr>
    </w:tbl>
    <w:p w:rsidR="003620F3" w:rsidRDefault="003620F3">
      <w:pPr>
        <w:pStyle w:val="Standard"/>
        <w:rPr>
          <w:rFonts w:cs="Tahoma"/>
          <w:color w:val="FF6600"/>
          <w:sz w:val="20"/>
          <w:szCs w:val="20"/>
          <w:lang w:eastAsia="it-IT"/>
        </w:rPr>
      </w:pPr>
    </w:p>
    <w:p w:rsidR="003620F3" w:rsidRDefault="002734FA">
      <w:pPr>
        <w:pStyle w:val="Standard"/>
        <w:rPr>
          <w:i/>
          <w:szCs w:val="22"/>
        </w:rPr>
      </w:pPr>
      <w:r>
        <w:rPr>
          <w:i/>
          <w:szCs w:val="22"/>
        </w:rPr>
        <w:t>RIFERIMENTI NORMATIVI/CONTRATTUALI:</w:t>
      </w:r>
    </w:p>
    <w:p w:rsidR="003620F3" w:rsidRDefault="002734FA">
      <w:pPr>
        <w:pStyle w:val="Standard"/>
        <w:rPr>
          <w:i/>
          <w:szCs w:val="22"/>
          <w:lang w:val="en-US"/>
        </w:rPr>
      </w:pPr>
      <w:r>
        <w:rPr>
          <w:i/>
          <w:szCs w:val="22"/>
          <w:lang w:val="en-US"/>
        </w:rPr>
        <w:t>Art. 17 comma 2 lett. d CCNL 1.4.1999</w:t>
      </w:r>
    </w:p>
    <w:p w:rsidR="003620F3" w:rsidRDefault="002734FA">
      <w:pPr>
        <w:pStyle w:val="Standard"/>
        <w:rPr>
          <w:i/>
          <w:color w:val="000000"/>
          <w:szCs w:val="22"/>
        </w:rPr>
      </w:pPr>
      <w:r>
        <w:rPr>
          <w:i/>
          <w:color w:val="000000"/>
          <w:szCs w:val="22"/>
        </w:rPr>
        <w:lastRenderedPageBreak/>
        <w:t xml:space="preserve">D) il pagamento delle indennità di turno, rischio, reperibilità, maneggio valori, orario notturno, festivo e </w:t>
      </w:r>
      <w:r>
        <w:rPr>
          <w:i/>
          <w:color w:val="000000"/>
          <w:szCs w:val="22"/>
        </w:rPr>
        <w:t>notturno-festivo, secondo la disciplina prevista dagli artt. 11, comma 12, 13, comma 7, e 34,comma 1, lett. f) g) ed h) del DPR 268/1987, dall’art. 28 del DPR 347/1983, dall’art. 49 del DPR 333/1990 e dalle disposizioni in vigore per le Camere di Commercio</w:t>
      </w:r>
      <w:r>
        <w:rPr>
          <w:i/>
          <w:color w:val="000000"/>
          <w:szCs w:val="22"/>
        </w:rPr>
        <w:t>;</w:t>
      </w:r>
    </w:p>
    <w:p w:rsidR="003620F3" w:rsidRDefault="002734FA">
      <w:pPr>
        <w:pStyle w:val="Standard"/>
        <w:rPr>
          <w:i/>
          <w:szCs w:val="22"/>
        </w:rPr>
      </w:pPr>
      <w:r>
        <w:rPr>
          <w:i/>
          <w:szCs w:val="22"/>
        </w:rPr>
        <w:t>Art. 36 CCNL 14.9.2000</w:t>
      </w:r>
    </w:p>
    <w:p w:rsidR="003620F3" w:rsidRDefault="002734FA">
      <w:pPr>
        <w:pStyle w:val="Standard"/>
        <w:rPr>
          <w:i/>
          <w:color w:val="000000"/>
          <w:szCs w:val="22"/>
        </w:rPr>
      </w:pPr>
      <w:r>
        <w:rPr>
          <w:i/>
          <w:color w:val="000000"/>
          <w:szCs w:val="22"/>
        </w:rPr>
        <w:t xml:space="preserve">1. Al personale adibito in via continuativa a servizi che comportino maneggio di valori di cassa compete una indennità giornaliera proporzionata al valore medio mensile dei valori maneggiati. Gli importi di tale indennità, </w:t>
      </w:r>
      <w:r>
        <w:rPr>
          <w:i/>
          <w:color w:val="000000"/>
          <w:szCs w:val="22"/>
        </w:rPr>
        <w:t>stabiliti in sede di contrattazione integrativa decentrata, possono variare da un minimo di L. 1000 a un massimo di L.3000. Ai relativi oneri si fa fronte, in ogni caso, con le risorse di cui all’art. 15 del CCNL dell’1.4.1999.</w:t>
      </w:r>
    </w:p>
    <w:p w:rsidR="003620F3" w:rsidRDefault="002734FA">
      <w:pPr>
        <w:pStyle w:val="Standard"/>
        <w:rPr>
          <w:i/>
          <w:color w:val="000000"/>
          <w:szCs w:val="22"/>
        </w:rPr>
      </w:pPr>
      <w:r>
        <w:rPr>
          <w:i/>
          <w:color w:val="000000"/>
          <w:szCs w:val="22"/>
        </w:rPr>
        <w:t>2. Tale indennità compete pe</w:t>
      </w:r>
      <w:r>
        <w:rPr>
          <w:i/>
          <w:color w:val="000000"/>
          <w:szCs w:val="22"/>
        </w:rPr>
        <w:t>r le sole giornate nelle quali il dipendente è effettivamente adibito ai servizi di cui al comma 1.</w:t>
      </w:r>
    </w:p>
    <w:p w:rsidR="003620F3" w:rsidRDefault="002734FA">
      <w:pPr>
        <w:pStyle w:val="Standard"/>
        <w:numPr>
          <w:ilvl w:val="0"/>
          <w:numId w:val="31"/>
        </w:numPr>
      </w:pPr>
      <w:r>
        <w:rPr>
          <w:szCs w:val="22"/>
        </w:rPr>
        <w:t>Indennità di reperibilità specificatamente contrattate nel CCDI dell'anno (</w:t>
      </w:r>
      <w:r>
        <w:rPr>
          <w:i/>
          <w:szCs w:val="22"/>
        </w:rPr>
        <w:t>art. 17 comma 2 lett. d CCNL 1.4.1999</w:t>
      </w:r>
      <w:r>
        <w:rPr>
          <w:szCs w:val="22"/>
        </w:rPr>
        <w:t>)  € 1.400,00</w:t>
      </w:r>
    </w:p>
    <w:p w:rsidR="003620F3" w:rsidRDefault="002734FA">
      <w:pPr>
        <w:pStyle w:val="Standard"/>
        <w:rPr>
          <w:i/>
          <w:szCs w:val="22"/>
        </w:rPr>
      </w:pPr>
      <w:r>
        <w:rPr>
          <w:i/>
          <w:szCs w:val="22"/>
        </w:rPr>
        <w:t>RIFERIMENTI NORMATIVI/CONTRATT</w:t>
      </w:r>
      <w:r>
        <w:rPr>
          <w:i/>
          <w:szCs w:val="22"/>
        </w:rPr>
        <w:t>UALI:</w:t>
      </w:r>
    </w:p>
    <w:p w:rsidR="003620F3" w:rsidRDefault="002734FA">
      <w:pPr>
        <w:pStyle w:val="Standard"/>
        <w:rPr>
          <w:i/>
          <w:szCs w:val="22"/>
        </w:rPr>
      </w:pPr>
      <w:r>
        <w:rPr>
          <w:i/>
          <w:szCs w:val="22"/>
        </w:rPr>
        <w:t>Art. 17 comma 2 lett. d CCNL 1.4.1999</w:t>
      </w:r>
    </w:p>
    <w:p w:rsidR="003620F3" w:rsidRDefault="002734FA">
      <w:pPr>
        <w:pStyle w:val="Standard"/>
        <w:rPr>
          <w:i/>
          <w:color w:val="000000"/>
          <w:szCs w:val="22"/>
        </w:rPr>
      </w:pPr>
      <w:r>
        <w:rPr>
          <w:i/>
          <w:color w:val="000000"/>
          <w:szCs w:val="22"/>
        </w:rPr>
        <w:t>D) il pagamento delle indennità di turno, rischio, reperibilità, maneggio valori, orario notturno, festivo e notturno-festivo, secondo la disciplina prevista dagli artt. 11, comma 12, 13, comma 7, e 34,comma 1, l</w:t>
      </w:r>
      <w:r>
        <w:rPr>
          <w:i/>
          <w:color w:val="000000"/>
          <w:szCs w:val="22"/>
        </w:rPr>
        <w:t>ett. f) g) ed h) del DPR 268/1987, dall’art. 28 del DPR 347/1983, dall’art. 49 del DPR 333/1990 e dalle disposizioni in vigore per le Camere di Commercio;</w:t>
      </w:r>
    </w:p>
    <w:p w:rsidR="003620F3" w:rsidRDefault="002734FA">
      <w:pPr>
        <w:pStyle w:val="Standard"/>
        <w:rPr>
          <w:i/>
          <w:szCs w:val="22"/>
          <w:lang w:val="en-GB"/>
        </w:rPr>
      </w:pPr>
      <w:r>
        <w:rPr>
          <w:i/>
          <w:szCs w:val="22"/>
          <w:lang w:val="en-GB"/>
        </w:rPr>
        <w:t>Art. 23 CCNL 14.9.2000 e ART. 11 CCNL 5.10.2001</w:t>
      </w:r>
    </w:p>
    <w:p w:rsidR="003620F3" w:rsidRDefault="002734FA">
      <w:pPr>
        <w:pStyle w:val="Standard"/>
        <w:rPr>
          <w:i/>
          <w:color w:val="000000"/>
          <w:szCs w:val="22"/>
        </w:rPr>
      </w:pPr>
      <w:r>
        <w:rPr>
          <w:i/>
          <w:color w:val="000000"/>
          <w:szCs w:val="22"/>
        </w:rPr>
        <w:t>1. Per le aree di pronto intervento individuate dagli</w:t>
      </w:r>
      <w:r>
        <w:rPr>
          <w:i/>
          <w:color w:val="000000"/>
          <w:szCs w:val="22"/>
        </w:rPr>
        <w:t xml:space="preserve"> enti, può essere istituito il servizio di pronta  reperibilità. Esso è remunerato con la somma di L.20.000 per 12 ore al giorno. Ai relativi oneri si fa fronte in ogni caso con le risorse previste dall’art.15 del CCNL dell’1.4.1999.Tale importo è raddoppi</w:t>
      </w:r>
      <w:r>
        <w:rPr>
          <w:i/>
          <w:color w:val="000000"/>
          <w:szCs w:val="22"/>
        </w:rPr>
        <w:t>ato in caso di reperibilità cadente in  giornata festiva, anche infrasettimanale o di riposo settimanale secondo il turno assegnato.</w:t>
      </w:r>
    </w:p>
    <w:p w:rsidR="003620F3" w:rsidRDefault="002734FA">
      <w:pPr>
        <w:pStyle w:val="Standard"/>
        <w:rPr>
          <w:i/>
          <w:color w:val="000000"/>
          <w:szCs w:val="22"/>
        </w:rPr>
      </w:pPr>
      <w:r>
        <w:rPr>
          <w:i/>
          <w:color w:val="000000"/>
          <w:szCs w:val="22"/>
        </w:rPr>
        <w:t>2. In caso di chiamata l’interessato dovrà raggiungere il posto di lavoro assegnato nell’arco di trenta minuti.</w:t>
      </w:r>
    </w:p>
    <w:p w:rsidR="003620F3" w:rsidRDefault="002734FA">
      <w:pPr>
        <w:pStyle w:val="Standard"/>
        <w:rPr>
          <w:i/>
          <w:color w:val="000000"/>
          <w:szCs w:val="22"/>
        </w:rPr>
      </w:pPr>
      <w:r>
        <w:rPr>
          <w:i/>
          <w:color w:val="000000"/>
          <w:szCs w:val="22"/>
        </w:rPr>
        <w:t xml:space="preserve">3. Ciascun </w:t>
      </w:r>
      <w:r>
        <w:rPr>
          <w:i/>
          <w:color w:val="000000"/>
          <w:szCs w:val="22"/>
        </w:rPr>
        <w:t>dipendente non può essere messo in reperibilità per più di 6 volte in un mese; gli enti assicurano la rotazione tra più soggetti anche volontari.</w:t>
      </w:r>
    </w:p>
    <w:p w:rsidR="003620F3" w:rsidRDefault="002734FA">
      <w:pPr>
        <w:pStyle w:val="Standard"/>
        <w:rPr>
          <w:i/>
          <w:color w:val="000000"/>
          <w:szCs w:val="22"/>
        </w:rPr>
      </w:pPr>
      <w:r>
        <w:rPr>
          <w:i/>
          <w:color w:val="000000"/>
          <w:szCs w:val="22"/>
        </w:rPr>
        <w:t>4. L’indennità di reperibilità di cui al comma 1 non compete durante l’orario di servizio a qualsiasi titolo p</w:t>
      </w:r>
      <w:r>
        <w:rPr>
          <w:i/>
          <w:color w:val="000000"/>
          <w:szCs w:val="22"/>
        </w:rPr>
        <w:t xml:space="preserve">restato. Detta indennità è frazionabile in misura non inferiore a quattro ore ed è corrisposta in proporzione alla sua durata oraria maggiorata, in tal caso, del 10%. Qualora la pronta reperibilità cada di domenica o comunque di riposo settimanale secondo </w:t>
      </w:r>
      <w:r>
        <w:rPr>
          <w:i/>
          <w:color w:val="000000"/>
          <w:szCs w:val="22"/>
        </w:rPr>
        <w:t>il turno assegnato, il dipendente ha diritto ad un giorno di riposo compensativo anche se non è chiamato a rendere alcuna prestazione lavorativa. La fruizione del riposo compensativo non comporta, comunque, alcuna riduzione dell’orario di lavoro settimanal</w:t>
      </w:r>
      <w:r>
        <w:rPr>
          <w:i/>
          <w:color w:val="000000"/>
          <w:szCs w:val="22"/>
        </w:rPr>
        <w:t>e.</w:t>
      </w:r>
    </w:p>
    <w:p w:rsidR="003620F3" w:rsidRDefault="002734FA">
      <w:pPr>
        <w:pStyle w:val="Standard"/>
      </w:pPr>
      <w:r>
        <w:rPr>
          <w:i/>
          <w:color w:val="000000"/>
          <w:szCs w:val="22"/>
        </w:rPr>
        <w:t>5. In caso di chiamata, le ore di lavoro prestate vengono retribuite come lavoro straordinario o compensate, a richiesta, ai sensi dell’art.38, comma 7 o dell’art.38-bis, con equivalente recupero orario; per le stesse ore è esclusa la percezione del com</w:t>
      </w:r>
      <w:r>
        <w:rPr>
          <w:i/>
          <w:color w:val="000000"/>
          <w:szCs w:val="22"/>
        </w:rPr>
        <w:t>penso di cui ai commi 1 e 4.(Introdotto dall’</w:t>
      </w:r>
      <w:r>
        <w:rPr>
          <w:i/>
          <w:szCs w:val="22"/>
        </w:rPr>
        <w:t>ART. 11 CCNL 5.10.2001)</w:t>
      </w:r>
    </w:p>
    <w:p w:rsidR="003620F3" w:rsidRDefault="002734FA">
      <w:pPr>
        <w:pStyle w:val="Standard"/>
        <w:numPr>
          <w:ilvl w:val="0"/>
          <w:numId w:val="31"/>
        </w:numPr>
      </w:pPr>
      <w:r>
        <w:rPr>
          <w:szCs w:val="22"/>
        </w:rPr>
        <w:t>Indennità di disagio  specificatamente contrattate nel CCDI dell'anno (</w:t>
      </w:r>
      <w:r>
        <w:rPr>
          <w:i/>
          <w:szCs w:val="22"/>
        </w:rPr>
        <w:t>art. 17 comma 2 lett. e CCNL 1.4.1999</w:t>
      </w:r>
      <w:r>
        <w:rPr>
          <w:szCs w:val="22"/>
        </w:rPr>
        <w:t>)  € 360,00</w:t>
      </w:r>
    </w:p>
    <w:p w:rsidR="003620F3" w:rsidRDefault="003620F3">
      <w:pPr>
        <w:pStyle w:val="Standard"/>
        <w:rPr>
          <w:rFonts w:cs="Tahoma"/>
          <w:color w:val="FF6600"/>
          <w:sz w:val="20"/>
          <w:szCs w:val="22"/>
          <w:lang w:eastAsia="it-IT"/>
        </w:rPr>
      </w:pPr>
    </w:p>
    <w:p w:rsidR="003620F3" w:rsidRDefault="002734FA">
      <w:pPr>
        <w:pStyle w:val="Standard"/>
      </w:pPr>
      <w:r>
        <w:rPr>
          <w:rFonts w:cs="Garamond"/>
          <w:sz w:val="20"/>
          <w:szCs w:val="20"/>
          <w:lang w:eastAsia="it-IT"/>
        </w:rPr>
        <w:t xml:space="preserve">- </w:t>
      </w:r>
      <w:r>
        <w:rPr>
          <w:rFonts w:cs="Garamond"/>
          <w:b/>
          <w:sz w:val="24"/>
          <w:u w:val="single"/>
          <w:lang w:eastAsia="it-IT"/>
        </w:rPr>
        <w:t>N. 1 dipendente inquadrato in Cat. B qualifica Operaio/necroforo</w:t>
      </w:r>
      <w:r>
        <w:rPr>
          <w:rFonts w:cs="Garamond"/>
          <w:sz w:val="24"/>
          <w:lang w:eastAsia="it-IT"/>
        </w:rPr>
        <w:t xml:space="preserve"> per aver prestato attività collegate alle seguenti lettere</w:t>
      </w:r>
      <w:r>
        <w:rPr>
          <w:rFonts w:cs="Garamond"/>
          <w:color w:val="FF6600"/>
          <w:sz w:val="24"/>
          <w:shd w:val="clear" w:color="auto" w:fill="C0C0C0"/>
          <w:lang w:eastAsia="it-IT"/>
        </w:rPr>
        <w:t>:</w:t>
      </w:r>
    </w:p>
    <w:p w:rsidR="003620F3" w:rsidRDefault="002734FA">
      <w:pPr>
        <w:pStyle w:val="Standard"/>
        <w:tabs>
          <w:tab w:val="left" w:pos="720"/>
        </w:tabs>
        <w:ind w:left="360" w:hanging="360"/>
        <w:textAlignment w:val="auto"/>
        <w:rPr>
          <w:rFonts w:cs="Garamond"/>
          <w:sz w:val="24"/>
          <w:lang w:eastAsia="it-IT"/>
        </w:rPr>
      </w:pPr>
      <w:r>
        <w:rPr>
          <w:rFonts w:cs="Garamond"/>
          <w:sz w:val="24"/>
          <w:lang w:eastAsia="it-IT"/>
        </w:rPr>
        <w:t xml:space="preserve">prestazione richiesta e resa, per esigenze di funzionalità dei servizi dell’ente, in condizioni sfavorevoli, di tempi e di modi, ai fini del recupero psico-fisico nell’arco della giornata; la </w:t>
      </w:r>
      <w:r>
        <w:rPr>
          <w:rFonts w:cs="Garamond"/>
          <w:sz w:val="24"/>
          <w:lang w:eastAsia="it-IT"/>
        </w:rPr>
        <w:lastRenderedPageBreak/>
        <w:t>condizione deve essere differenziata rispetto a quella di altri prestatori con analogo ruolo/mansioni;</w:t>
      </w:r>
    </w:p>
    <w:p w:rsidR="003620F3" w:rsidRDefault="002734FA">
      <w:pPr>
        <w:pStyle w:val="Standard"/>
        <w:tabs>
          <w:tab w:val="left" w:pos="720"/>
        </w:tabs>
        <w:ind w:left="360" w:hanging="360"/>
        <w:textAlignment w:val="auto"/>
        <w:rPr>
          <w:rFonts w:cs="Garamond"/>
          <w:sz w:val="24"/>
          <w:lang w:eastAsia="it-IT"/>
        </w:rPr>
      </w:pPr>
      <w:r>
        <w:rPr>
          <w:rFonts w:cs="Garamond"/>
          <w:sz w:val="24"/>
          <w:lang w:eastAsia="it-IT"/>
        </w:rPr>
        <w:t xml:space="preserve">prestazione richiesta e resa, per esigenze di funzionalità dei servizi comunali o per operazioni connesse ad eventi imprevedibili ed urgenti che possono </w:t>
      </w:r>
      <w:r>
        <w:rPr>
          <w:rFonts w:cs="Garamond"/>
          <w:sz w:val="24"/>
          <w:lang w:eastAsia="it-IT"/>
        </w:rPr>
        <w:t>avere implicazioni con la pubblica sicurezza, in condizioni sfavorevoli, di tempi e di modi, tali da condizionare in senso sfavorevole l’autonomia temporale e relazionale del singolo; la condizione deve differenziata rispetto a quella di altri prestatori c</w:t>
      </w:r>
      <w:r>
        <w:rPr>
          <w:rFonts w:cs="Garamond"/>
          <w:sz w:val="24"/>
          <w:lang w:eastAsia="it-IT"/>
        </w:rPr>
        <w:t>on analogo ruolo/mansioni.</w:t>
      </w:r>
    </w:p>
    <w:tbl>
      <w:tblPr>
        <w:tblW w:w="8228" w:type="dxa"/>
        <w:tblInd w:w="-5" w:type="dxa"/>
        <w:tblLayout w:type="fixed"/>
        <w:tblCellMar>
          <w:left w:w="10" w:type="dxa"/>
          <w:right w:w="10" w:type="dxa"/>
        </w:tblCellMar>
        <w:tblLook w:val="04A0" w:firstRow="1" w:lastRow="0" w:firstColumn="1" w:lastColumn="0" w:noHBand="0" w:noVBand="1"/>
      </w:tblPr>
      <w:tblGrid>
        <w:gridCol w:w="3684"/>
        <w:gridCol w:w="1983"/>
        <w:gridCol w:w="2561"/>
      </w:tblGrid>
      <w:tr w:rsidR="003620F3">
        <w:tblPrEx>
          <w:tblCellMar>
            <w:top w:w="0" w:type="dxa"/>
            <w:bottom w:w="0" w:type="dxa"/>
          </w:tblCellMar>
        </w:tblPrEx>
        <w:trPr>
          <w:cantSplit/>
          <w:trHeight w:val="300"/>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3620F3">
            <w:pPr>
              <w:pStyle w:val="Standard"/>
              <w:tabs>
                <w:tab w:val="left" w:pos="360"/>
              </w:tabs>
              <w:ind w:firstLine="0"/>
              <w:jc w:val="center"/>
              <w:rPr>
                <w:rFonts w:cs="Tahoma"/>
                <w:b/>
                <w:sz w:val="24"/>
              </w:rPr>
            </w:pP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N. DIPENDENTI INTERESSATI</w:t>
            </w: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SOMMA PREVISTA</w:t>
            </w:r>
          </w:p>
        </w:tc>
      </w:tr>
      <w:tr w:rsidR="003620F3">
        <w:tblPrEx>
          <w:tblCellMar>
            <w:top w:w="0" w:type="dxa"/>
            <w:bottom w:w="0" w:type="dxa"/>
          </w:tblCellMar>
        </w:tblPrEx>
        <w:trPr>
          <w:cantSplit/>
          <w:trHeight w:val="300"/>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left"/>
              <w:rPr>
                <w:rFonts w:cs="Garamond"/>
                <w:sz w:val="24"/>
              </w:rPr>
            </w:pPr>
            <w:r>
              <w:rPr>
                <w:rFonts w:cs="Garamond"/>
                <w:sz w:val="24"/>
              </w:rPr>
              <w:t>OPERAIO/NECROFORO</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sz w:val="24"/>
              </w:rPr>
            </w:pPr>
            <w:r>
              <w:rPr>
                <w:rFonts w:cs="Tahoma"/>
                <w:sz w:val="24"/>
              </w:rPr>
              <w:t>1</w:t>
            </w: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Garamond"/>
                <w:sz w:val="24"/>
              </w:rPr>
            </w:pPr>
            <w:r>
              <w:rPr>
                <w:rFonts w:cs="Garamond"/>
                <w:sz w:val="24"/>
              </w:rPr>
              <w:t>€    360,00</w:t>
            </w:r>
          </w:p>
        </w:tc>
      </w:tr>
      <w:tr w:rsidR="003620F3">
        <w:tblPrEx>
          <w:tblCellMar>
            <w:top w:w="0" w:type="dxa"/>
            <w:bottom w:w="0" w:type="dxa"/>
          </w:tblCellMar>
        </w:tblPrEx>
        <w:trPr>
          <w:cantSplit/>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TOTALE ANNUALE</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3620F3">
            <w:pPr>
              <w:pStyle w:val="Standard"/>
              <w:tabs>
                <w:tab w:val="left" w:pos="360"/>
              </w:tabs>
              <w:ind w:firstLine="0"/>
              <w:jc w:val="center"/>
              <w:rPr>
                <w:rFonts w:cs="Tahoma"/>
                <w:b/>
                <w:sz w:val="24"/>
              </w:rPr>
            </w:pP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€ 360,00*</w:t>
            </w:r>
          </w:p>
        </w:tc>
      </w:tr>
    </w:tbl>
    <w:p w:rsidR="003620F3" w:rsidRDefault="002734FA">
      <w:pPr>
        <w:pStyle w:val="Standard"/>
        <w:rPr>
          <w:rFonts w:cs="Garamond"/>
        </w:rPr>
      </w:pPr>
      <w:r>
        <w:rPr>
          <w:rFonts w:cs="Garamond"/>
        </w:rPr>
        <w:t>*L’importo è rapportato al periodo di lavoro effettivamente prestato.</w:t>
      </w:r>
    </w:p>
    <w:p w:rsidR="003620F3" w:rsidRDefault="003620F3">
      <w:pPr>
        <w:pStyle w:val="Standard"/>
        <w:rPr>
          <w:rFonts w:cs="Tahoma"/>
          <w:color w:val="FF6600"/>
          <w:sz w:val="20"/>
          <w:szCs w:val="20"/>
          <w:lang w:eastAsia="it-IT"/>
        </w:rPr>
      </w:pPr>
    </w:p>
    <w:p w:rsidR="003620F3" w:rsidRDefault="002734FA">
      <w:pPr>
        <w:pStyle w:val="Standard"/>
        <w:rPr>
          <w:i/>
          <w:szCs w:val="22"/>
        </w:rPr>
      </w:pPr>
      <w:r>
        <w:rPr>
          <w:i/>
          <w:szCs w:val="22"/>
        </w:rPr>
        <w:t>RIFERIMENTI NORMATIVI/CONTRATTUALI:</w:t>
      </w:r>
    </w:p>
    <w:p w:rsidR="003620F3" w:rsidRDefault="002734FA">
      <w:pPr>
        <w:pStyle w:val="Standard"/>
        <w:rPr>
          <w:i/>
          <w:szCs w:val="22"/>
        </w:rPr>
      </w:pPr>
      <w:r>
        <w:rPr>
          <w:i/>
          <w:szCs w:val="22"/>
        </w:rPr>
        <w:t xml:space="preserve">Art. 17 comma 2 </w:t>
      </w:r>
      <w:r>
        <w:rPr>
          <w:i/>
          <w:szCs w:val="22"/>
        </w:rPr>
        <w:t>lett. e CCNL 1.4.1999</w:t>
      </w:r>
    </w:p>
    <w:p w:rsidR="003620F3" w:rsidRDefault="002734FA">
      <w:pPr>
        <w:pStyle w:val="Standard"/>
        <w:rPr>
          <w:i/>
          <w:color w:val="000000"/>
          <w:szCs w:val="22"/>
        </w:rPr>
      </w:pPr>
      <w:r>
        <w:rPr>
          <w:i/>
          <w:color w:val="000000"/>
          <w:szCs w:val="22"/>
        </w:rPr>
        <w:t>E) compensare l’esercizio di attività  svolte in condizioni particolarmente disagiate da parte del personale delle categorie A , B e C;</w:t>
      </w:r>
    </w:p>
    <w:p w:rsidR="003620F3" w:rsidRDefault="002734FA">
      <w:pPr>
        <w:pStyle w:val="Standard"/>
        <w:numPr>
          <w:ilvl w:val="0"/>
          <w:numId w:val="31"/>
        </w:numPr>
      </w:pPr>
      <w:r>
        <w:rPr>
          <w:szCs w:val="22"/>
        </w:rPr>
        <w:t>Particolari posizioni specificatamente contrattate nel CCDI dell'anno (art. 17, c. 2, lett f. CCNL</w:t>
      </w:r>
      <w:r>
        <w:rPr>
          <w:szCs w:val="22"/>
        </w:rPr>
        <w:t xml:space="preserve"> 01/04/99, art. 36, c.1,CCNL 22/01/04 e art. 7 CCNL 9/5/2006)  € 2.300,00</w:t>
      </w:r>
    </w:p>
    <w:p w:rsidR="003620F3" w:rsidRDefault="003620F3">
      <w:pPr>
        <w:pStyle w:val="Standard"/>
        <w:rPr>
          <w:color w:val="FF6600"/>
          <w:szCs w:val="22"/>
        </w:rPr>
      </w:pPr>
    </w:p>
    <w:tbl>
      <w:tblPr>
        <w:tblW w:w="9412" w:type="dxa"/>
        <w:tblInd w:w="-108" w:type="dxa"/>
        <w:tblLayout w:type="fixed"/>
        <w:tblCellMar>
          <w:left w:w="10" w:type="dxa"/>
          <w:right w:w="10" w:type="dxa"/>
        </w:tblCellMar>
        <w:tblLook w:val="04A0" w:firstRow="1" w:lastRow="0" w:firstColumn="1" w:lastColumn="0" w:noHBand="0" w:noVBand="1"/>
      </w:tblPr>
      <w:tblGrid>
        <w:gridCol w:w="2208"/>
        <w:gridCol w:w="1401"/>
        <w:gridCol w:w="1933"/>
        <w:gridCol w:w="1933"/>
        <w:gridCol w:w="1937"/>
      </w:tblGrid>
      <w:tr w:rsidR="003620F3">
        <w:tblPrEx>
          <w:tblCellMar>
            <w:top w:w="0" w:type="dxa"/>
            <w:bottom w:w="0" w:type="dxa"/>
          </w:tblCellMar>
        </w:tblPrEx>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Ufficio appartenenza</w:t>
            </w: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Numero Dipendenti</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Categoria</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Importo Unitario</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Importo Complessivo</w:t>
            </w:r>
          </w:p>
        </w:tc>
      </w:tr>
      <w:tr w:rsidR="003620F3">
        <w:tblPrEx>
          <w:tblCellMar>
            <w:top w:w="0" w:type="dxa"/>
            <w:bottom w:w="0" w:type="dxa"/>
          </w:tblCellMar>
        </w:tblPrEx>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Segreteria</w:t>
            </w: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1</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C1</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1000</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1000</w:t>
            </w:r>
          </w:p>
        </w:tc>
      </w:tr>
      <w:tr w:rsidR="003620F3">
        <w:tblPrEx>
          <w:tblCellMar>
            <w:top w:w="0" w:type="dxa"/>
            <w:bottom w:w="0" w:type="dxa"/>
          </w:tblCellMar>
        </w:tblPrEx>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Sociale</w:t>
            </w: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 xml:space="preserve">1 part-time </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D1</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1500</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sz w:val="24"/>
                <w:lang w:eastAsia="it-IT"/>
              </w:rPr>
            </w:pPr>
            <w:r>
              <w:rPr>
                <w:rFonts w:cs="Garamond"/>
                <w:sz w:val="24"/>
                <w:lang w:eastAsia="it-IT"/>
              </w:rPr>
              <w:t>1300</w:t>
            </w:r>
          </w:p>
        </w:tc>
      </w:tr>
      <w:tr w:rsidR="003620F3">
        <w:tblPrEx>
          <w:tblCellMar>
            <w:top w:w="0" w:type="dxa"/>
            <w:bottom w:w="0" w:type="dxa"/>
          </w:tblCellMar>
        </w:tblPrEx>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TOTALE</w:t>
            </w: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3620F3">
            <w:pPr>
              <w:pStyle w:val="Standard"/>
              <w:ind w:firstLine="0"/>
              <w:textAlignment w:val="auto"/>
              <w:rPr>
                <w:rFonts w:cs="Garamond"/>
                <w:b/>
                <w:sz w:val="24"/>
                <w:lang w:eastAsia="it-IT"/>
              </w:rPr>
            </w:pP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3620F3">
            <w:pPr>
              <w:pStyle w:val="Standard"/>
              <w:ind w:firstLine="0"/>
              <w:textAlignment w:val="auto"/>
              <w:rPr>
                <w:rFonts w:cs="Garamond"/>
                <w:b/>
                <w:sz w:val="24"/>
                <w:lang w:eastAsia="it-IT"/>
              </w:rPr>
            </w:pP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3620F3">
            <w:pPr>
              <w:pStyle w:val="Standard"/>
              <w:ind w:firstLine="0"/>
              <w:textAlignment w:val="auto"/>
              <w:rPr>
                <w:rFonts w:cs="Garamond"/>
                <w:b/>
                <w:sz w:val="24"/>
                <w:lang w:eastAsia="it-IT"/>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ind w:firstLine="0"/>
              <w:textAlignment w:val="auto"/>
              <w:rPr>
                <w:rFonts w:cs="Garamond"/>
                <w:b/>
                <w:sz w:val="24"/>
                <w:lang w:eastAsia="it-IT"/>
              </w:rPr>
            </w:pPr>
            <w:r>
              <w:rPr>
                <w:rFonts w:cs="Garamond"/>
                <w:b/>
                <w:sz w:val="24"/>
                <w:lang w:eastAsia="it-IT"/>
              </w:rPr>
              <w:t>2300</w:t>
            </w:r>
          </w:p>
        </w:tc>
      </w:tr>
    </w:tbl>
    <w:p w:rsidR="003620F3" w:rsidRDefault="003620F3">
      <w:pPr>
        <w:pStyle w:val="Standard"/>
        <w:rPr>
          <w:color w:val="FF6600"/>
          <w:szCs w:val="22"/>
        </w:rPr>
      </w:pPr>
    </w:p>
    <w:p w:rsidR="003620F3" w:rsidRDefault="002734FA">
      <w:pPr>
        <w:pStyle w:val="Standard"/>
        <w:rPr>
          <w:i/>
          <w:szCs w:val="22"/>
        </w:rPr>
      </w:pPr>
      <w:r>
        <w:rPr>
          <w:i/>
          <w:szCs w:val="22"/>
        </w:rPr>
        <w:t xml:space="preserve">RIFERIMENTI </w:t>
      </w:r>
      <w:r>
        <w:rPr>
          <w:i/>
          <w:szCs w:val="22"/>
        </w:rPr>
        <w:t>NORMATIVI/CONTRATTUALI:</w:t>
      </w:r>
    </w:p>
    <w:p w:rsidR="003620F3" w:rsidRDefault="002734FA">
      <w:pPr>
        <w:pStyle w:val="Standard"/>
        <w:rPr>
          <w:i/>
          <w:szCs w:val="22"/>
        </w:rPr>
      </w:pPr>
      <w:r>
        <w:rPr>
          <w:i/>
          <w:szCs w:val="22"/>
        </w:rPr>
        <w:t>Art. 7 CCNL 9/5/2006 (che ha sostituito l’art. 17 comma 2 lett. f CCNL 1.4.1999)</w:t>
      </w:r>
    </w:p>
    <w:p w:rsidR="003620F3" w:rsidRDefault="002734FA">
      <w:pPr>
        <w:pStyle w:val="Standard"/>
        <w:rPr>
          <w:i/>
          <w:szCs w:val="22"/>
        </w:rPr>
      </w:pPr>
      <w:r>
        <w:rPr>
          <w:i/>
          <w:szCs w:val="22"/>
        </w:rPr>
        <w:t>1. La lett. f) del comma 2, dell’art.17 del CCNL dell’1.4.1999 è sostituita dalla seguente: " f) compensare in misura non superiore a € 2500 annui lord</w:t>
      </w:r>
      <w:r>
        <w:rPr>
          <w:i/>
          <w:szCs w:val="22"/>
        </w:rPr>
        <w:t xml:space="preserve">i: l’eventuale esercizio di compiti che comportano specifiche responsabilità da parte del personale delle categorie B e C quando non trovi applicazione la speciale disciplina di cui all’art.11, comma 3, del CCNL del 31.3.1999; le specifiche responsabilità </w:t>
      </w:r>
      <w:r>
        <w:rPr>
          <w:i/>
          <w:szCs w:val="22"/>
        </w:rPr>
        <w:t xml:space="preserve">affidate al personale della categoria D, che non risulti incaricato di funzioni dell’area delle posizioni organizzative, secondo la disciplina degli articoli da 8 a 11 del CCNL del 31.3.1999. La contrattazione decentrata stabilisce le modalità di verifica </w:t>
      </w:r>
      <w:r>
        <w:rPr>
          <w:i/>
          <w:szCs w:val="22"/>
        </w:rPr>
        <w:t>del permanere delle condizioni che hanno determinato l’attribuzione dei compensi previsti dalla presente lettera</w:t>
      </w:r>
    </w:p>
    <w:p w:rsidR="003620F3" w:rsidRDefault="002734FA">
      <w:pPr>
        <w:pStyle w:val="Standard"/>
        <w:rPr>
          <w:i/>
          <w:szCs w:val="22"/>
        </w:rPr>
      </w:pPr>
      <w:r>
        <w:rPr>
          <w:i/>
          <w:szCs w:val="22"/>
        </w:rPr>
        <w:t>2. E’ disapplicata, dalla data di sottoscrizione definitiva del presente contratto collettivo, la disciplina dell’art.36, comma 1, del CCNL del</w:t>
      </w:r>
      <w:r>
        <w:rPr>
          <w:i/>
          <w:szCs w:val="22"/>
        </w:rPr>
        <w:t xml:space="preserve"> 22.1.2004.</w:t>
      </w:r>
    </w:p>
    <w:p w:rsidR="003620F3" w:rsidRDefault="002734FA">
      <w:pPr>
        <w:pStyle w:val="Standard"/>
        <w:numPr>
          <w:ilvl w:val="0"/>
          <w:numId w:val="31"/>
        </w:numPr>
      </w:pPr>
      <w:r>
        <w:rPr>
          <w:szCs w:val="22"/>
        </w:rPr>
        <w:t>Specifiche responsabilità  (art. 17, c. 2, lett I. CCNL 01/04/99 come modificato dall’art. 36, c.2,CCNL 22/01/04)  € 300,00</w:t>
      </w:r>
    </w:p>
    <w:tbl>
      <w:tblPr>
        <w:tblW w:w="8228" w:type="dxa"/>
        <w:tblInd w:w="-5" w:type="dxa"/>
        <w:tblLayout w:type="fixed"/>
        <w:tblCellMar>
          <w:left w:w="10" w:type="dxa"/>
          <w:right w:w="10" w:type="dxa"/>
        </w:tblCellMar>
        <w:tblLook w:val="04A0" w:firstRow="1" w:lastRow="0" w:firstColumn="1" w:lastColumn="0" w:noHBand="0" w:noVBand="1"/>
      </w:tblPr>
      <w:tblGrid>
        <w:gridCol w:w="3684"/>
        <w:gridCol w:w="1983"/>
        <w:gridCol w:w="2561"/>
      </w:tblGrid>
      <w:tr w:rsidR="003620F3">
        <w:tblPrEx>
          <w:tblCellMar>
            <w:top w:w="0" w:type="dxa"/>
            <w:bottom w:w="0" w:type="dxa"/>
          </w:tblCellMar>
        </w:tblPrEx>
        <w:trPr>
          <w:cantSplit/>
          <w:trHeight w:val="300"/>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TIPOLOGIA DI RESPONSABILITÀ</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N. DIPENDENTI INTERESSATI</w:t>
            </w: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SOMMA PREVISTA</w:t>
            </w:r>
          </w:p>
        </w:tc>
      </w:tr>
      <w:tr w:rsidR="003620F3">
        <w:tblPrEx>
          <w:tblCellMar>
            <w:top w:w="0" w:type="dxa"/>
            <w:bottom w:w="0" w:type="dxa"/>
          </w:tblCellMar>
        </w:tblPrEx>
        <w:trPr>
          <w:cantSplit/>
          <w:trHeight w:val="300"/>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tabella"/>
              <w:tabs>
                <w:tab w:val="left" w:pos="360"/>
              </w:tabs>
              <w:jc w:val="left"/>
              <w:textAlignment w:val="auto"/>
              <w:rPr>
                <w:rFonts w:ascii="Calibri" w:hAnsi="Calibri" w:cs="Garamond"/>
                <w:szCs w:val="24"/>
                <w:lang w:eastAsia="it-IT"/>
              </w:rPr>
            </w:pPr>
            <w:r>
              <w:rPr>
                <w:rFonts w:ascii="Calibri" w:hAnsi="Calibri" w:cs="Garamond"/>
                <w:szCs w:val="24"/>
                <w:lang w:eastAsia="it-IT"/>
              </w:rPr>
              <w:lastRenderedPageBreak/>
              <w:t>Servizi Demografici</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ind w:firstLine="0"/>
              <w:jc w:val="center"/>
              <w:rPr>
                <w:rFonts w:cs="Tahoma"/>
                <w:sz w:val="24"/>
              </w:rPr>
            </w:pPr>
            <w:r>
              <w:rPr>
                <w:rFonts w:cs="Tahoma"/>
                <w:sz w:val="24"/>
              </w:rPr>
              <w:t>1</w:t>
            </w: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3620F3" w:rsidRDefault="002734FA">
            <w:pPr>
              <w:pStyle w:val="Standard"/>
              <w:ind w:firstLine="0"/>
              <w:jc w:val="center"/>
              <w:rPr>
                <w:rFonts w:cs="Tahoma"/>
                <w:sz w:val="24"/>
              </w:rPr>
            </w:pPr>
            <w:r>
              <w:rPr>
                <w:rFonts w:cs="Tahoma"/>
                <w:sz w:val="24"/>
              </w:rPr>
              <w:t>€ 300,00</w:t>
            </w:r>
          </w:p>
        </w:tc>
      </w:tr>
      <w:tr w:rsidR="003620F3">
        <w:tblPrEx>
          <w:tblCellMar>
            <w:top w:w="0" w:type="dxa"/>
            <w:bottom w:w="0" w:type="dxa"/>
          </w:tblCellMar>
        </w:tblPrEx>
        <w:trPr>
          <w:cantSplit/>
        </w:trPr>
        <w:tc>
          <w:tcPr>
            <w:tcW w:w="36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2734FA">
            <w:pPr>
              <w:pStyle w:val="Standard"/>
              <w:tabs>
                <w:tab w:val="left" w:pos="360"/>
              </w:tabs>
              <w:ind w:firstLine="0"/>
              <w:jc w:val="center"/>
              <w:rPr>
                <w:rFonts w:cs="Tahoma"/>
                <w:b/>
                <w:sz w:val="24"/>
              </w:rPr>
            </w:pPr>
            <w:r>
              <w:rPr>
                <w:rFonts w:cs="Tahoma"/>
                <w:b/>
                <w:sz w:val="24"/>
              </w:rPr>
              <w:t>TOTALE ANNUALE</w:t>
            </w:r>
          </w:p>
        </w:tc>
        <w:tc>
          <w:tcPr>
            <w:tcW w:w="198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3620F3" w:rsidRDefault="003620F3">
            <w:pPr>
              <w:pStyle w:val="Standard"/>
              <w:tabs>
                <w:tab w:val="left" w:pos="360"/>
              </w:tabs>
              <w:ind w:firstLine="0"/>
              <w:jc w:val="center"/>
              <w:rPr>
                <w:rFonts w:cs="Tahoma"/>
                <w:b/>
                <w:sz w:val="24"/>
              </w:rPr>
            </w:pPr>
          </w:p>
        </w:tc>
        <w:tc>
          <w:tcPr>
            <w:tcW w:w="256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3620F3" w:rsidRDefault="002734FA">
            <w:pPr>
              <w:pStyle w:val="Standard"/>
              <w:tabs>
                <w:tab w:val="left" w:pos="360"/>
              </w:tabs>
              <w:ind w:firstLine="0"/>
              <w:jc w:val="center"/>
              <w:rPr>
                <w:rFonts w:cs="Tahoma"/>
                <w:b/>
                <w:sz w:val="24"/>
              </w:rPr>
            </w:pPr>
            <w:r>
              <w:rPr>
                <w:rFonts w:cs="Tahoma"/>
                <w:b/>
                <w:sz w:val="24"/>
              </w:rPr>
              <w:t>€.</w:t>
            </w:r>
            <w:r>
              <w:rPr>
                <w:rFonts w:cs="Tahoma"/>
                <w:b/>
                <w:sz w:val="24"/>
              </w:rPr>
              <w:t xml:space="preserve"> 300,00</w:t>
            </w:r>
          </w:p>
        </w:tc>
      </w:tr>
    </w:tbl>
    <w:p w:rsidR="003620F3" w:rsidRDefault="003620F3">
      <w:pPr>
        <w:pStyle w:val="Standard"/>
        <w:rPr>
          <w:rFonts w:cs="Tahoma"/>
          <w:color w:val="FF6600"/>
          <w:sz w:val="20"/>
          <w:szCs w:val="22"/>
          <w:lang w:eastAsia="it-IT"/>
        </w:rPr>
      </w:pPr>
    </w:p>
    <w:p w:rsidR="003620F3" w:rsidRDefault="002734FA">
      <w:pPr>
        <w:pStyle w:val="Standard"/>
        <w:rPr>
          <w:i/>
          <w:szCs w:val="22"/>
        </w:rPr>
      </w:pPr>
      <w:r>
        <w:rPr>
          <w:i/>
          <w:szCs w:val="22"/>
        </w:rPr>
        <w:t>RIFERIMENTI NORMATIVI/CONTRATTUALI:</w:t>
      </w:r>
    </w:p>
    <w:p w:rsidR="003620F3" w:rsidRDefault="002734FA">
      <w:pPr>
        <w:pStyle w:val="Standard"/>
        <w:rPr>
          <w:i/>
          <w:szCs w:val="22"/>
        </w:rPr>
      </w:pPr>
      <w:r>
        <w:rPr>
          <w:i/>
          <w:szCs w:val="22"/>
        </w:rPr>
        <w:t>Art. 36 c.2 CCNL 22.1.2004 (che ha introdotto l’art. 17 comma 2 lett. i CCNL 1.4.1999)</w:t>
      </w:r>
    </w:p>
    <w:p w:rsidR="003620F3" w:rsidRDefault="002734FA">
      <w:pPr>
        <w:pStyle w:val="Standard"/>
        <w:rPr>
          <w:i/>
          <w:szCs w:val="22"/>
        </w:rPr>
      </w:pPr>
      <w:r>
        <w:rPr>
          <w:i/>
          <w:szCs w:val="22"/>
        </w:rPr>
        <w:t>2. All’art. 17, comma 2, è aggiunta la seguente lettera:</w:t>
      </w:r>
    </w:p>
    <w:p w:rsidR="003620F3" w:rsidRDefault="002734FA">
      <w:pPr>
        <w:pStyle w:val="Standard"/>
        <w:rPr>
          <w:i/>
          <w:szCs w:val="22"/>
        </w:rPr>
      </w:pPr>
      <w:r>
        <w:rPr>
          <w:i/>
          <w:szCs w:val="22"/>
        </w:rPr>
        <w:t xml:space="preserve">i) Compensare le specifiche responsabilità del personale delle </w:t>
      </w:r>
      <w:r>
        <w:rPr>
          <w:i/>
          <w:szCs w:val="22"/>
        </w:rPr>
        <w:t>categorie B, C e D attribuite con atto formale degli enti, derivanti dalle qualifiche di Ufficiale di stato civile e anagrafe ed Ufficiale elettorale nonché di responsabile dei tributi stabilite dalle leggi; compensare, altresì, i compiti di responsabilità</w:t>
      </w:r>
      <w:r>
        <w:rPr>
          <w:i/>
          <w:szCs w:val="22"/>
        </w:rPr>
        <w:t xml:space="preserve"> eventualmente affidati agli archivisti informatici nonché agli addetti agli uffici per le relazioni con il pubblico ed ai formatori professionali; compensare ancora le funzioni di ufficiale giudiziario attribuite ai messi notificatori; compensare, infine,</w:t>
      </w:r>
      <w:r>
        <w:rPr>
          <w:i/>
          <w:szCs w:val="22"/>
        </w:rPr>
        <w:t xml:space="preserve"> le specifiche responsabilità affidate al personale addetto ai servizi di protezione civile.  L’importo massimo del compenso è definito in € 300 annui lordi.</w:t>
      </w:r>
    </w:p>
    <w:p w:rsidR="003620F3" w:rsidRDefault="002734FA">
      <w:pPr>
        <w:pStyle w:val="Standard"/>
        <w:numPr>
          <w:ilvl w:val="0"/>
          <w:numId w:val="31"/>
        </w:numPr>
      </w:pPr>
      <w:r>
        <w:rPr>
          <w:szCs w:val="22"/>
        </w:rPr>
        <w:t xml:space="preserve">Incentivazione produttività individuale – risorse specificatamente contrattate nel CCDI dell'anno </w:t>
      </w:r>
      <w:r>
        <w:rPr>
          <w:szCs w:val="22"/>
        </w:rPr>
        <w:t xml:space="preserve"> (</w:t>
      </w:r>
      <w:r>
        <w:rPr>
          <w:i/>
          <w:szCs w:val="22"/>
        </w:rPr>
        <w:t xml:space="preserve">art. 17, c. 2, lett a. CCNL 01/04/99 e s.m.i.) </w:t>
      </w:r>
      <w:r>
        <w:rPr>
          <w:szCs w:val="22"/>
        </w:rPr>
        <w:t>€ 7.590,04</w:t>
      </w:r>
    </w:p>
    <w:p w:rsidR="003620F3" w:rsidRDefault="002734FA">
      <w:pPr>
        <w:pStyle w:val="Standard"/>
        <w:rPr>
          <w:rFonts w:cs="Garamond"/>
          <w:color w:val="000000"/>
          <w:sz w:val="24"/>
          <w:lang w:eastAsia="it-IT"/>
        </w:rPr>
      </w:pPr>
      <w:r>
        <w:rPr>
          <w:rFonts w:cs="Garamond"/>
          <w:color w:val="000000"/>
          <w:sz w:val="24"/>
          <w:lang w:eastAsia="it-IT"/>
        </w:rPr>
        <w:t>La quota destinata a finanziare la produttività è quella residua dall’applicazione delle indennità previste dal presente accordo per ciascun anno, nonché qualsiasi economia che si dovesse creare i</w:t>
      </w:r>
      <w:r>
        <w:rPr>
          <w:rFonts w:cs="Garamond"/>
          <w:color w:val="000000"/>
          <w:sz w:val="24"/>
          <w:lang w:eastAsia="it-IT"/>
        </w:rPr>
        <w:t>n seguito alla ripartizione delle risorse. La produttività si dovrà distribuire in base alla valutazione sul raggiungimento dei risultati degli obiettivi di performance individuati e assegnati nel rispetto del Sistema di Valutazione vigente nell’Ente.</w:t>
      </w:r>
    </w:p>
    <w:p w:rsidR="003620F3" w:rsidRDefault="003620F3">
      <w:pPr>
        <w:pStyle w:val="Standard"/>
        <w:rPr>
          <w:rFonts w:ascii="Tahoma" w:hAnsi="Tahoma" w:cs="Tahoma"/>
          <w:color w:val="FF6600"/>
          <w:sz w:val="20"/>
          <w:szCs w:val="22"/>
          <w:lang w:eastAsia="it-IT"/>
        </w:rPr>
      </w:pPr>
    </w:p>
    <w:p w:rsidR="003620F3" w:rsidRDefault="002734FA">
      <w:pPr>
        <w:pStyle w:val="Standard"/>
        <w:rPr>
          <w:i/>
          <w:szCs w:val="22"/>
        </w:rPr>
      </w:pPr>
      <w:r>
        <w:rPr>
          <w:i/>
          <w:szCs w:val="22"/>
        </w:rPr>
        <w:t>RIF</w:t>
      </w:r>
      <w:r>
        <w:rPr>
          <w:i/>
          <w:szCs w:val="22"/>
        </w:rPr>
        <w:t>ERIMENTI NORMATIVI/CONTRATTUALI:</w:t>
      </w:r>
    </w:p>
    <w:p w:rsidR="003620F3" w:rsidRDefault="002734FA">
      <w:pPr>
        <w:pStyle w:val="Standard"/>
        <w:rPr>
          <w:i/>
          <w:szCs w:val="22"/>
        </w:rPr>
      </w:pPr>
      <w:r>
        <w:rPr>
          <w:i/>
          <w:szCs w:val="22"/>
        </w:rPr>
        <w:t>Art. 17 comma 2 lett. a CCNL 1.4.1999</w:t>
      </w:r>
    </w:p>
    <w:p w:rsidR="003620F3" w:rsidRDefault="002734FA">
      <w:pPr>
        <w:pStyle w:val="Standard"/>
        <w:rPr>
          <w:i/>
          <w:color w:val="000000"/>
          <w:szCs w:val="22"/>
        </w:rPr>
      </w:pPr>
      <w:r>
        <w:rPr>
          <w:i/>
          <w:color w:val="000000"/>
          <w:szCs w:val="22"/>
        </w:rPr>
        <w:t>A) erogare compensi diretti ad incentivare la produttività ed il miglioramento dei servizi, attraverso la corresponsione di compensi correlati al merito e all’impegno di gruppo per cent</w:t>
      </w:r>
      <w:r>
        <w:rPr>
          <w:i/>
          <w:color w:val="000000"/>
          <w:szCs w:val="22"/>
        </w:rPr>
        <w:t>ri di costo, e/o individuale, in modo selettivo e secondo i risultati accertati dal sistema permanente di valutazione di cui all’art. 6 del CCNL del 31.3.99.;</w:t>
      </w:r>
    </w:p>
    <w:p w:rsidR="003620F3" w:rsidRDefault="002734FA">
      <w:pPr>
        <w:pStyle w:val="Standard"/>
        <w:rPr>
          <w:i/>
          <w:szCs w:val="22"/>
        </w:rPr>
      </w:pPr>
      <w:r>
        <w:rPr>
          <w:i/>
          <w:szCs w:val="22"/>
        </w:rPr>
        <w:t>Art. 37 CCNL 22.1.2004</w:t>
      </w:r>
    </w:p>
    <w:p w:rsidR="003620F3" w:rsidRDefault="002734FA">
      <w:pPr>
        <w:pStyle w:val="Standard"/>
        <w:rPr>
          <w:i/>
          <w:color w:val="000000"/>
          <w:szCs w:val="22"/>
        </w:rPr>
      </w:pPr>
      <w:r>
        <w:rPr>
          <w:i/>
          <w:color w:val="000000"/>
          <w:szCs w:val="22"/>
        </w:rPr>
        <w:t>1. La attribuzione dei compensi di cui all’art. 17, comma 2, lett. a) ed h</w:t>
      </w:r>
      <w:r>
        <w:rPr>
          <w:i/>
          <w:color w:val="000000"/>
          <w:szCs w:val="22"/>
        </w:rPr>
        <w:t xml:space="preserve">) è strettamente correlata ad effettivi incrementi della produttività e di miglioramento quali-quantitativo dei servizi da intendersi, per entrambi gli aspetti,  come risultato aggiuntivo apprezzabile rispetto al risultato atteso dalla normale prestazione </w:t>
      </w:r>
      <w:r>
        <w:rPr>
          <w:i/>
          <w:color w:val="000000"/>
          <w:szCs w:val="22"/>
        </w:rPr>
        <w:t>lavorativa.</w:t>
      </w:r>
    </w:p>
    <w:p w:rsidR="003620F3" w:rsidRDefault="002734FA">
      <w:pPr>
        <w:pStyle w:val="Standard"/>
        <w:rPr>
          <w:i/>
          <w:color w:val="000000"/>
          <w:szCs w:val="22"/>
        </w:rPr>
      </w:pPr>
      <w:r>
        <w:rPr>
          <w:i/>
          <w:color w:val="000000"/>
          <w:szCs w:val="22"/>
        </w:rPr>
        <w:t>2. I compensi destinati a incentivare la produttività e il miglioramento dei servizi devono essere corrisposti ai lavoratori interessati soltanto a conclusione del periodico processo di valutazione delle prestazioni e dei risultati nonché in ba</w:t>
      </w:r>
      <w:r>
        <w:rPr>
          <w:i/>
          <w:color w:val="000000"/>
          <w:szCs w:val="22"/>
        </w:rPr>
        <w:t>se al livello di conseguimento degli obiettivi predefiniti nel PEG o negli analoghi strumenti di programmazione degli enti.</w:t>
      </w:r>
    </w:p>
    <w:p w:rsidR="003620F3" w:rsidRDefault="002734FA">
      <w:pPr>
        <w:pStyle w:val="Standard"/>
        <w:rPr>
          <w:i/>
          <w:color w:val="000000"/>
          <w:szCs w:val="22"/>
        </w:rPr>
      </w:pPr>
      <w:r>
        <w:rPr>
          <w:i/>
          <w:color w:val="000000"/>
          <w:szCs w:val="22"/>
        </w:rPr>
        <w:t xml:space="preserve">3. La valutazione delle prestazioni e dei risultati dei lavoratori spetta ai competenti dirigenti nel rispetto dei criteri e delle </w:t>
      </w:r>
      <w:r>
        <w:rPr>
          <w:i/>
          <w:color w:val="000000"/>
          <w:szCs w:val="22"/>
        </w:rPr>
        <w:t>prescrizioni definiti dal sistema permanente di valutazione adottato nel rispetto del modello di relazioni sindacali previsto; il livello di conseguimento degli obiettivi è certificato dal servizio di controllo interno.</w:t>
      </w:r>
    </w:p>
    <w:p w:rsidR="003620F3" w:rsidRDefault="002734FA">
      <w:pPr>
        <w:pStyle w:val="Standard"/>
        <w:rPr>
          <w:i/>
          <w:color w:val="000000"/>
          <w:szCs w:val="22"/>
        </w:rPr>
      </w:pPr>
      <w:r>
        <w:rPr>
          <w:i/>
          <w:color w:val="000000"/>
          <w:szCs w:val="22"/>
        </w:rPr>
        <w:t xml:space="preserve">4. Non è consentita la attribuzione </w:t>
      </w:r>
      <w:r>
        <w:rPr>
          <w:i/>
          <w:color w:val="000000"/>
          <w:szCs w:val="22"/>
        </w:rPr>
        <w:t>generalizzata dei compensi per produttività sulla base di automatismi comunque denominati.</w:t>
      </w:r>
    </w:p>
    <w:p w:rsidR="003620F3" w:rsidRDefault="002734FA">
      <w:pPr>
        <w:pStyle w:val="Standard"/>
        <w:rPr>
          <w:bCs/>
          <w:i/>
          <w:szCs w:val="22"/>
        </w:rPr>
      </w:pPr>
      <w:r>
        <w:rPr>
          <w:bCs/>
          <w:i/>
          <w:szCs w:val="22"/>
        </w:rPr>
        <w:t>Art. 5 CCNL 31.07.2009</w:t>
      </w:r>
    </w:p>
    <w:p w:rsidR="003620F3" w:rsidRDefault="002734FA">
      <w:pPr>
        <w:pStyle w:val="Standard"/>
        <w:rPr>
          <w:i/>
          <w:color w:val="000000"/>
          <w:szCs w:val="22"/>
        </w:rPr>
      </w:pPr>
      <w:r>
        <w:rPr>
          <w:i/>
          <w:color w:val="000000"/>
          <w:szCs w:val="22"/>
        </w:rPr>
        <w:t>1. Le parti confermano la disciplina dei compensi per produttività dettata dall’art. 37 del CCNL del 22.1.2004, ribadendo gli ordinari princip</w:t>
      </w:r>
      <w:r>
        <w:rPr>
          <w:i/>
          <w:color w:val="000000"/>
          <w:szCs w:val="22"/>
        </w:rPr>
        <w:t xml:space="preserve">i in materia di premialità, con particolare riferimento alla natura e ai </w:t>
      </w:r>
      <w:r>
        <w:rPr>
          <w:i/>
          <w:color w:val="000000"/>
          <w:szCs w:val="22"/>
        </w:rPr>
        <w:lastRenderedPageBreak/>
        <w:t>contenuti dei sistemi incentivanti la produttività e alla conseguente necessità di valutare l’apporto partecipativo dei lavoratori coinvolti negli stessi. In caso di assenza, l’apport</w:t>
      </w:r>
      <w:r>
        <w:rPr>
          <w:i/>
          <w:color w:val="000000"/>
          <w:szCs w:val="22"/>
        </w:rPr>
        <w:t>o individuale del dipendente è valutato in relazione all’attività di servizio svolta ed ai risultati conseguiti e verificati, nonché sulla base della qualità e quantità della sua effettiva partecipazione ai progetti e programmi di produttività.</w:t>
      </w:r>
    </w:p>
    <w:p w:rsidR="003620F3" w:rsidRDefault="002734FA">
      <w:pPr>
        <w:pStyle w:val="Standard"/>
        <w:rPr>
          <w:bCs/>
          <w:i/>
          <w:szCs w:val="22"/>
        </w:rPr>
      </w:pPr>
      <w:r>
        <w:rPr>
          <w:bCs/>
          <w:i/>
          <w:szCs w:val="22"/>
        </w:rPr>
        <w:t>Art.18 D.lg</w:t>
      </w:r>
      <w:r>
        <w:rPr>
          <w:bCs/>
          <w:i/>
          <w:szCs w:val="22"/>
        </w:rPr>
        <w:t>s 150/2009 “Criteri   e   modalità   per   la   valorizzazione del  merito  ed</w:t>
      </w:r>
      <w:r>
        <w:rPr>
          <w:bCs/>
          <w:i/>
          <w:szCs w:val="22"/>
        </w:rPr>
        <w:br/>
      </w:r>
      <w:r>
        <w:rPr>
          <w:bCs/>
          <w:i/>
          <w:szCs w:val="22"/>
        </w:rPr>
        <w:t>incentivazione della performance”</w:t>
      </w:r>
    </w:p>
    <w:p w:rsidR="003620F3" w:rsidRDefault="002734FA">
      <w:pPr>
        <w:pStyle w:val="Standard"/>
        <w:rPr>
          <w:i/>
          <w:color w:val="000000"/>
          <w:szCs w:val="22"/>
        </w:rPr>
      </w:pPr>
      <w:r>
        <w:rPr>
          <w:i/>
          <w:color w:val="000000"/>
          <w:szCs w:val="22"/>
        </w:rPr>
        <w:t>1.   Le   amministrazioni  pubbliche  promuovono  il  merito  e  il miglioramento  della  performance  organizzativa e individuale, anche attra</w:t>
      </w:r>
      <w:r>
        <w:rPr>
          <w:i/>
          <w:color w:val="000000"/>
          <w:szCs w:val="22"/>
        </w:rPr>
        <w:t>verso l'utilizzo di sistemi premianti selettivi, secondo logiche meritocratiche,  perché  valorizzano  i dipendenti che conseguono le migliori performance attraverso l'attribuzione selettiva di incentivi sia economici sia di carriera.</w:t>
      </w:r>
    </w:p>
    <w:p w:rsidR="003620F3" w:rsidRDefault="002734FA">
      <w:pPr>
        <w:pStyle w:val="Standard"/>
        <w:rPr>
          <w:i/>
          <w:color w:val="000000"/>
          <w:szCs w:val="22"/>
        </w:rPr>
      </w:pPr>
      <w:r>
        <w:rPr>
          <w:i/>
          <w:color w:val="000000"/>
          <w:szCs w:val="22"/>
        </w:rPr>
        <w:t>2.  E'  vietata la di</w:t>
      </w:r>
      <w:r>
        <w:rPr>
          <w:i/>
          <w:color w:val="000000"/>
          <w:szCs w:val="22"/>
        </w:rPr>
        <w:t>stribuzione in maniera indifferenziata o sulla base di automatismi di incentivi e premi collegati alla performance in assenza delle verifiche e attestazioni sui sistemi di misurazione e valutazione adottati ai sensi del presente decreto.</w:t>
      </w:r>
    </w:p>
    <w:p w:rsidR="003620F3" w:rsidRDefault="002734FA">
      <w:pPr>
        <w:pStyle w:val="Standard"/>
        <w:rPr>
          <w:i/>
          <w:szCs w:val="22"/>
        </w:rPr>
      </w:pPr>
      <w:r>
        <w:rPr>
          <w:i/>
          <w:szCs w:val="22"/>
        </w:rPr>
        <w:t>Parere Aran 499-18</w:t>
      </w:r>
      <w:r>
        <w:rPr>
          <w:i/>
          <w:szCs w:val="22"/>
        </w:rPr>
        <w:t>A8.</w:t>
      </w:r>
    </w:p>
    <w:p w:rsidR="003620F3" w:rsidRDefault="002734FA">
      <w:pPr>
        <w:pStyle w:val="Standard"/>
        <w:rPr>
          <w:i/>
          <w:color w:val="000000"/>
          <w:szCs w:val="22"/>
        </w:rPr>
      </w:pPr>
      <w:r>
        <w:rPr>
          <w:i/>
          <w:color w:val="000000"/>
          <w:szCs w:val="22"/>
        </w:rPr>
        <w:t xml:space="preserve">La produttività individuale potrebbe essere individuata come momento di verifica e di valutazione di ogni singolo lavoratore, da parte del competente dirigente, con riferimento agli impegni di lavoro specifici derivanti dall'affidamento dei compiti da </w:t>
      </w:r>
      <w:r>
        <w:rPr>
          <w:i/>
          <w:color w:val="000000"/>
          <w:szCs w:val="22"/>
        </w:rPr>
        <w:t>parte del competente dirigente.</w:t>
      </w:r>
    </w:p>
    <w:p w:rsidR="003620F3" w:rsidRDefault="002734FA">
      <w:pPr>
        <w:pStyle w:val="Standard"/>
        <w:rPr>
          <w:i/>
          <w:color w:val="000000"/>
          <w:szCs w:val="22"/>
        </w:rPr>
      </w:pPr>
      <w:r>
        <w:rPr>
          <w:i/>
          <w:color w:val="000000"/>
          <w:szCs w:val="22"/>
        </w:rPr>
        <w:t xml:space="preserve">Suggeriamo, in ogni caso, di non attribuire troppo rilievo all'una o all'altra forma di incentivazione; nella sostanza occorre sempre assicurare un corretto percorso di valutazione che ogni ente è tenuto ad adottare, previa </w:t>
      </w:r>
      <w:r>
        <w:rPr>
          <w:i/>
          <w:color w:val="000000"/>
          <w:szCs w:val="22"/>
        </w:rPr>
        <w:t>concertazione, ai sensi dell'art.6 del CCNL del 31.3.99.</w:t>
      </w:r>
    </w:p>
    <w:p w:rsidR="003620F3" w:rsidRDefault="003620F3">
      <w:pPr>
        <w:pStyle w:val="Standard"/>
        <w:rPr>
          <w:i/>
          <w:color w:val="000000"/>
          <w:szCs w:val="22"/>
        </w:rPr>
      </w:pPr>
    </w:p>
    <w:p w:rsidR="003620F3" w:rsidRDefault="002734FA">
      <w:pPr>
        <w:pStyle w:val="Standard"/>
        <w:rPr>
          <w:i/>
          <w:color w:val="000000"/>
          <w:szCs w:val="22"/>
        </w:rPr>
      </w:pPr>
      <w:r>
        <w:rPr>
          <w:i/>
          <w:color w:val="000000"/>
          <w:szCs w:val="22"/>
        </w:rPr>
        <w:t>Si evidenzia che una quota di risorse hanno una destinazione vincolata da disposizioni normative o contrattuali, in particolare:</w:t>
      </w:r>
    </w:p>
    <w:p w:rsidR="003620F3" w:rsidRDefault="002734FA">
      <w:pPr>
        <w:pStyle w:val="Standard"/>
        <w:numPr>
          <w:ilvl w:val="0"/>
          <w:numId w:val="31"/>
        </w:numPr>
      </w:pPr>
      <w:r>
        <w:rPr>
          <w:szCs w:val="22"/>
        </w:rPr>
        <w:t>Incentivazione specifiche attività - PROGETTAZIONE (</w:t>
      </w:r>
      <w:r>
        <w:rPr>
          <w:i/>
          <w:szCs w:val="22"/>
        </w:rPr>
        <w:t>art. 17, c. 2, le</w:t>
      </w:r>
      <w:r>
        <w:rPr>
          <w:i/>
          <w:szCs w:val="22"/>
        </w:rPr>
        <w:t xml:space="preserve">tt. g CCNL 01/04/99 e s.m.i.) </w:t>
      </w:r>
      <w:r>
        <w:rPr>
          <w:szCs w:val="22"/>
        </w:rPr>
        <w:t xml:space="preserve">€ 10.000,00  </w:t>
      </w:r>
    </w:p>
    <w:p w:rsidR="003620F3" w:rsidRDefault="003620F3">
      <w:pPr>
        <w:pStyle w:val="Standard"/>
        <w:rPr>
          <w:color w:val="FF6600"/>
          <w:szCs w:val="22"/>
        </w:rPr>
      </w:pPr>
    </w:p>
    <w:p w:rsidR="003620F3" w:rsidRDefault="002734FA">
      <w:pPr>
        <w:pStyle w:val="Standard"/>
        <w:rPr>
          <w:i/>
          <w:szCs w:val="22"/>
        </w:rPr>
      </w:pPr>
      <w:r>
        <w:rPr>
          <w:i/>
          <w:szCs w:val="22"/>
        </w:rPr>
        <w:t>RIFERIMENTI NORMATIVI/CONTRATTUALI:</w:t>
      </w:r>
    </w:p>
    <w:p w:rsidR="003620F3" w:rsidRDefault="002734FA">
      <w:pPr>
        <w:pStyle w:val="Standard"/>
        <w:rPr>
          <w:i/>
          <w:szCs w:val="22"/>
        </w:rPr>
      </w:pPr>
      <w:r>
        <w:rPr>
          <w:i/>
          <w:szCs w:val="22"/>
        </w:rPr>
        <w:t>Art. 17 comma 2 lett. a CCNL 1.4.1999</w:t>
      </w:r>
    </w:p>
    <w:p w:rsidR="003620F3" w:rsidRDefault="002734FA">
      <w:pPr>
        <w:pStyle w:val="Standard"/>
        <w:rPr>
          <w:i/>
          <w:color w:val="000000"/>
          <w:szCs w:val="22"/>
        </w:rPr>
      </w:pPr>
      <w:r>
        <w:rPr>
          <w:i/>
          <w:color w:val="000000"/>
          <w:szCs w:val="22"/>
        </w:rPr>
        <w:t>G) incentivare le specifiche attività e prestazioni correlate alla utilizzazione delle risorse indicate nell’art. 15, comma 1, lettera k)</w:t>
      </w:r>
      <w:r>
        <w:rPr>
          <w:i/>
          <w:color w:val="000000"/>
          <w:szCs w:val="22"/>
        </w:rPr>
        <w:t>.</w:t>
      </w:r>
    </w:p>
    <w:p w:rsidR="003620F3" w:rsidRDefault="002734FA">
      <w:pPr>
        <w:pStyle w:val="Standard"/>
      </w:pPr>
      <w:r>
        <w:rPr>
          <w:i/>
          <w:szCs w:val="22"/>
        </w:rPr>
        <w:t>Art. 4 CCNL del 5/10/2001 comma 3 Integrazione risorse dell'art. 15 del CCNL dell'1/4/1999</w:t>
      </w:r>
    </w:p>
    <w:p w:rsidR="003620F3" w:rsidRDefault="002734FA">
      <w:pPr>
        <w:pStyle w:val="Standard"/>
        <w:rPr>
          <w:i/>
          <w:color w:val="000000"/>
          <w:szCs w:val="22"/>
        </w:rPr>
      </w:pPr>
      <w:r>
        <w:rPr>
          <w:i/>
          <w:color w:val="000000"/>
          <w:szCs w:val="22"/>
        </w:rPr>
        <w:t xml:space="preserve">3. La disciplina dell'art. 15, comma 1, lett. k) del CCNL dell'1.4.1999, ricomprende sia le risorse derivanti dalla applicazione dell'art. 3, comma 57 della legge </w:t>
      </w:r>
      <w:r>
        <w:rPr>
          <w:i/>
          <w:color w:val="000000"/>
          <w:szCs w:val="22"/>
        </w:rPr>
        <w:t>n. 662 del 1996 e dall'art. 59, comma 1, lett. p) del D. Lgs.n.446 del 1997 (recupero evasione ICI), sia le ulteriori risorse correlate agli effetti applicativi dell'art. 12, comma 1, lett. del D.L. n. 437 del 1996, convertito nella legge n. 556 del 1996</w:t>
      </w:r>
    </w:p>
    <w:p w:rsidR="003620F3" w:rsidRDefault="002734FA">
      <w:pPr>
        <w:pStyle w:val="Standard"/>
      </w:pPr>
      <w:r>
        <w:rPr>
          <w:i/>
          <w:szCs w:val="22"/>
        </w:rPr>
        <w:t>A</w:t>
      </w:r>
      <w:r>
        <w:rPr>
          <w:i/>
          <w:szCs w:val="22"/>
        </w:rPr>
        <w:t xml:space="preserve">rt. 92 comma 5 e 6 </w:t>
      </w:r>
      <w:r>
        <w:rPr>
          <w:szCs w:val="22"/>
        </w:rPr>
        <w:t>D.LGS. 12 APRILE 2006, N. 16</w:t>
      </w:r>
    </w:p>
    <w:p w:rsidR="003620F3" w:rsidRDefault="002734FA">
      <w:pPr>
        <w:pStyle w:val="Standard"/>
        <w:rPr>
          <w:i/>
          <w:color w:val="000000"/>
          <w:szCs w:val="22"/>
        </w:rPr>
      </w:pPr>
      <w:r>
        <w:rPr>
          <w:i/>
          <w:color w:val="000000"/>
          <w:szCs w:val="22"/>
        </w:rPr>
        <w:t xml:space="preserve">5. Una somma non superiore al due per cento  dell'importo  posto  a base di gara di un'opera o di  un  lavoro,  comprensiva  anche  degli oneri previdenziali e assistenziali a carico dell'amministrazione,  a </w:t>
      </w:r>
      <w:r>
        <w:rPr>
          <w:i/>
          <w:color w:val="000000"/>
          <w:szCs w:val="22"/>
        </w:rPr>
        <w:t>valere direttamente sugli stanziamenti di cui all'articolo 93,  comma 7, e' ripartita, per ogni singola opera o lavoro, con le modalità  e i criteri previsti in sede di contrattazione decentrata e assunti  in un regolamento adottato dall'amministrazione, t</w:t>
      </w:r>
      <w:r>
        <w:rPr>
          <w:i/>
          <w:color w:val="000000"/>
          <w:szCs w:val="22"/>
        </w:rPr>
        <w:t>ra il responsabile del procedimento e gli incaricati della redazione del progetto, del piano della sicurezza, della direzione dei lavori,  del  collaudo,  nonché tra i  loro  collaboratori.  La  percentuale  effettiva,  nel  limite massimo del due per cent</w:t>
      </w:r>
      <w:r>
        <w:rPr>
          <w:i/>
          <w:color w:val="000000"/>
          <w:szCs w:val="22"/>
        </w:rPr>
        <w:t xml:space="preserve">o, e' stabilita dal regolamento  in  rapporto all'entita'  e  alla  complessita'  dell'opera  da   realizzare.   La ripartizione tiene conto delle responsabilita' professionali connesse alle  specifiche   prestazioni   da   svolgere.   La   corresponsione </w:t>
      </w:r>
      <w:r>
        <w:rPr>
          <w:i/>
          <w:color w:val="000000"/>
          <w:szCs w:val="22"/>
        </w:rPr>
        <w:t xml:space="preserve">dell'incentivo e' disposta  dal  dirigente  preposto  alla  struttura competente, previo accertamento positivo delle  specifiche  attività svolte dai  predetti  </w:t>
      </w:r>
      <w:r>
        <w:rPr>
          <w:i/>
          <w:color w:val="000000"/>
          <w:szCs w:val="22"/>
        </w:rPr>
        <w:lastRenderedPageBreak/>
        <w:t>dipendenti;  limitatamente  alle  attivita'  di progettazione, l'incentivo corrisposto al singo</w:t>
      </w:r>
      <w:r>
        <w:rPr>
          <w:i/>
          <w:color w:val="000000"/>
          <w:szCs w:val="22"/>
        </w:rPr>
        <w:t>lo dipendente non puo' superare l'importo del rispettivo trattamento  economico  complessivo annuo  lordo;  le  quote  parti   dell'incentivo   corrispondenti   a prestazioni non svolte dai medesimi dipendenti, in quanto affidate  a personale esterno all'o</w:t>
      </w:r>
      <w:r>
        <w:rPr>
          <w:i/>
          <w:color w:val="000000"/>
          <w:szCs w:val="22"/>
        </w:rPr>
        <w:t>rganico dell'amministrazione medesima,  ovvero prive del predetto accertamento, costituiscono economie.  I  soggetti di cui all'articolo 32, comma 1, lettere b) e  c),  possono  adottare con proprio provvedimento analoghi criteri.</w:t>
      </w:r>
    </w:p>
    <w:p w:rsidR="003620F3" w:rsidRDefault="002734FA">
      <w:pPr>
        <w:pStyle w:val="Standard"/>
        <w:rPr>
          <w:i/>
          <w:color w:val="000000"/>
          <w:szCs w:val="22"/>
        </w:rPr>
      </w:pPr>
      <w:r>
        <w:rPr>
          <w:i/>
          <w:color w:val="000000"/>
          <w:szCs w:val="22"/>
        </w:rPr>
        <w:t>6. Il trenta per cento de</w:t>
      </w:r>
      <w:r>
        <w:rPr>
          <w:i/>
          <w:color w:val="000000"/>
          <w:szCs w:val="22"/>
        </w:rPr>
        <w:t>lla tariffa  professionale  relativa  alla redazione  di  un  atto  di pianificazione  comunque  denominato  e' ripartito, con le modalità e i criteri previsti nel regolamento  di cui al comma 5 tra i dipendenti  dell'amministrazione  aggiudicatrice che lo</w:t>
      </w:r>
      <w:r>
        <w:rPr>
          <w:i/>
          <w:color w:val="000000"/>
          <w:szCs w:val="22"/>
        </w:rPr>
        <w:t xml:space="preserve"> abbiano redatto.</w:t>
      </w:r>
    </w:p>
    <w:p w:rsidR="003620F3" w:rsidRDefault="002734FA">
      <w:pPr>
        <w:pStyle w:val="Standard"/>
        <w:numPr>
          <w:ilvl w:val="0"/>
          <w:numId w:val="31"/>
        </w:numPr>
      </w:pPr>
      <w:r>
        <w:rPr>
          <w:szCs w:val="22"/>
        </w:rPr>
        <w:t>Incentivazione specifiche attività – Quota da trasferire all'Unione dei Comuni del Gerrei</w:t>
      </w:r>
      <w:r>
        <w:rPr>
          <w:i/>
          <w:szCs w:val="22"/>
        </w:rPr>
        <w:t xml:space="preserve"> </w:t>
      </w:r>
      <w:r>
        <w:rPr>
          <w:szCs w:val="22"/>
        </w:rPr>
        <w:t>€ 747,11</w:t>
      </w:r>
    </w:p>
    <w:p w:rsidR="003620F3" w:rsidRDefault="002734FA">
      <w:pPr>
        <w:pStyle w:val="Standard"/>
        <w:rPr>
          <w:szCs w:val="22"/>
        </w:rPr>
      </w:pPr>
      <w:r>
        <w:rPr>
          <w:szCs w:val="22"/>
        </w:rPr>
        <w:t>Somme accantonate -salario accessorio per n° 1 - Vigile Urbano in comando per 18 ore all'Unione dei Comuni del Gerrei. Quota calcolata sull</w:t>
      </w:r>
      <w:r>
        <w:rPr>
          <w:szCs w:val="22"/>
        </w:rPr>
        <w:t>a media pro capite del fondo disponibile 2016 al netto di PEO e indennità di comparto, a carico delle risorse stabili come Ente di appartenenza. Quota calcolata al netto dei risparmi 2011</w:t>
      </w:r>
    </w:p>
    <w:p w:rsidR="003620F3" w:rsidRDefault="002734FA">
      <w:pPr>
        <w:pStyle w:val="Standard"/>
        <w:numPr>
          <w:ilvl w:val="0"/>
          <w:numId w:val="31"/>
        </w:numPr>
      </w:pPr>
      <w:r>
        <w:rPr>
          <w:szCs w:val="22"/>
        </w:rPr>
        <w:t>Incentivazione specifiche attività Indennità cat. A e B (ex L. 125.0</w:t>
      </w:r>
      <w:r>
        <w:rPr>
          <w:szCs w:val="22"/>
        </w:rPr>
        <w:t>00 annue lorde, per dodici mensilità) € 129,00</w:t>
      </w:r>
    </w:p>
    <w:p w:rsidR="003620F3" w:rsidRDefault="003620F3">
      <w:pPr>
        <w:pStyle w:val="Standard"/>
        <w:rPr>
          <w:i/>
          <w:color w:val="FF6600"/>
          <w:szCs w:val="22"/>
        </w:rPr>
      </w:pPr>
    </w:p>
    <w:p w:rsidR="003620F3" w:rsidRDefault="003620F3">
      <w:pPr>
        <w:pStyle w:val="Standard"/>
        <w:ind w:firstLine="0"/>
        <w:rPr>
          <w:color w:val="000000"/>
          <w:szCs w:val="22"/>
        </w:rPr>
      </w:pPr>
    </w:p>
    <w:p w:rsidR="003620F3" w:rsidRDefault="002734FA">
      <w:pPr>
        <w:pStyle w:val="PuntoElencoLettere"/>
        <w:numPr>
          <w:ilvl w:val="0"/>
          <w:numId w:val="0"/>
        </w:numPr>
        <w:tabs>
          <w:tab w:val="clear" w:pos="-873"/>
          <w:tab w:val="left" w:pos="2268"/>
        </w:tabs>
        <w:ind w:left="1134" w:hanging="567"/>
        <w:rPr>
          <w:b/>
          <w:szCs w:val="22"/>
        </w:rPr>
      </w:pPr>
      <w:r>
        <w:rPr>
          <w:b/>
          <w:szCs w:val="22"/>
        </w:rPr>
        <w:tab/>
        <w:t>b) Quadro di sintesi delle modalità di utilizzo da parte della contrattazione integrativa delle risorse del Fondo unico di amministrazione;</w:t>
      </w:r>
    </w:p>
    <w:p w:rsidR="003620F3" w:rsidRDefault="003620F3">
      <w:pPr>
        <w:pStyle w:val="PuntoElencoLettere"/>
        <w:numPr>
          <w:ilvl w:val="0"/>
          <w:numId w:val="0"/>
        </w:numPr>
        <w:tabs>
          <w:tab w:val="clear" w:pos="-873"/>
          <w:tab w:val="left" w:pos="2268"/>
        </w:tabs>
        <w:ind w:left="1134" w:hanging="360"/>
        <w:rPr>
          <w:b/>
          <w:szCs w:val="22"/>
          <w:shd w:val="clear" w:color="auto" w:fill="FFFF00"/>
        </w:rPr>
      </w:pPr>
    </w:p>
    <w:tbl>
      <w:tblPr>
        <w:tblW w:w="8055" w:type="dxa"/>
        <w:tblInd w:w="1146" w:type="dxa"/>
        <w:tblLayout w:type="fixed"/>
        <w:tblCellMar>
          <w:left w:w="10" w:type="dxa"/>
          <w:right w:w="10" w:type="dxa"/>
        </w:tblCellMar>
        <w:tblLook w:val="04A0" w:firstRow="1" w:lastRow="0" w:firstColumn="1" w:lastColumn="0" w:noHBand="0" w:noVBand="1"/>
      </w:tblPr>
      <w:tblGrid>
        <w:gridCol w:w="5265"/>
        <w:gridCol w:w="2790"/>
      </w:tblGrid>
      <w:tr w:rsidR="003620F3">
        <w:tblPrEx>
          <w:tblCellMar>
            <w:top w:w="0" w:type="dxa"/>
            <w:bottom w:w="0" w:type="dxa"/>
          </w:tblCellMar>
        </w:tblPrEx>
        <w:trPr>
          <w:trHeight w:val="855"/>
        </w:trPr>
        <w:tc>
          <w:tcPr>
            <w:tcW w:w="8055" w:type="dxa"/>
            <w:gridSpan w:val="2"/>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UTILIZZO FONDO</w:t>
            </w:r>
          </w:p>
        </w:tc>
      </w:tr>
      <w:tr w:rsidR="003620F3">
        <w:tblPrEx>
          <w:tblCellMar>
            <w:top w:w="0" w:type="dxa"/>
            <w:bottom w:w="0" w:type="dxa"/>
          </w:tblCellMar>
        </w:tblPrEx>
        <w:trPr>
          <w:trHeight w:val="270"/>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3620F3">
            <w:pPr>
              <w:pStyle w:val="Standard"/>
              <w:snapToGrid w:val="0"/>
              <w:spacing w:after="0"/>
              <w:ind w:firstLine="0"/>
              <w:jc w:val="center"/>
              <w:rPr>
                <w:rFonts w:cs="Tahoma"/>
                <w:b/>
                <w:bCs/>
                <w:szCs w:val="22"/>
              </w:rPr>
            </w:pP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3620F3">
            <w:pPr>
              <w:pStyle w:val="Standard"/>
              <w:snapToGrid w:val="0"/>
              <w:spacing w:after="0"/>
              <w:ind w:firstLine="0"/>
              <w:jc w:val="center"/>
              <w:rPr>
                <w:rFonts w:cs="Tahoma"/>
                <w:b/>
                <w:bCs/>
                <w:szCs w:val="22"/>
              </w:rPr>
            </w:pP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rPr>
                <w:rFonts w:cs="Tahoma"/>
                <w:szCs w:val="22"/>
              </w:rPr>
            </w:pPr>
            <w:r>
              <w:rPr>
                <w:rFonts w:cs="Tahoma"/>
                <w:szCs w:val="22"/>
              </w:rPr>
              <w:t xml:space="preserve"> Totale utilizzo fondo progressioni</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6.607,69</w:t>
            </w: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Indennità di comparto art.33 ccnl 22.01.04, quota a carico fondo</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3.318,12</w:t>
            </w:r>
          </w:p>
        </w:tc>
      </w:tr>
      <w:tr w:rsidR="003620F3">
        <w:tblPrEx>
          <w:tblCellMar>
            <w:top w:w="0" w:type="dxa"/>
            <w:bottom w:w="0" w:type="dxa"/>
          </w:tblCellMar>
        </w:tblPrEx>
        <w:trPr>
          <w:trHeight w:val="671"/>
        </w:trPr>
        <w:tc>
          <w:tcPr>
            <w:tcW w:w="5265" w:type="dxa"/>
            <w:tcBorders>
              <w:top w:val="single" w:sz="8" w:space="0" w:color="000000"/>
              <w:lef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UTILIZZO RISORSE STABILI</w:t>
            </w:r>
          </w:p>
        </w:tc>
        <w:tc>
          <w:tcPr>
            <w:tcW w:w="2790" w:type="dxa"/>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9.925,81</w:t>
            </w: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 xml:space="preserve">Rischio  </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330,00</w:t>
            </w: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Maneggio valori</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273,98</w:t>
            </w: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 xml:space="preserve">Reperibilità  </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1.400,00</w:t>
            </w: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Disagio</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360,00</w:t>
            </w:r>
          </w:p>
        </w:tc>
      </w:tr>
      <w:tr w:rsidR="003620F3">
        <w:tblPrEx>
          <w:tblCellMar>
            <w:top w:w="0" w:type="dxa"/>
            <w:bottom w:w="0" w:type="dxa"/>
          </w:tblCellMar>
        </w:tblPrEx>
        <w:trPr>
          <w:trHeight w:val="780"/>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 xml:space="preserve"> Indennità particolari posizioni art 17 comma 2 lett. F </w:t>
            </w:r>
            <w:r>
              <w:rPr>
                <w:rFonts w:cs="Tahoma"/>
                <w:szCs w:val="22"/>
              </w:rPr>
              <w:t xml:space="preserve"> </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2.300,00</w:t>
            </w:r>
          </w:p>
        </w:tc>
      </w:tr>
      <w:tr w:rsidR="003620F3">
        <w:tblPrEx>
          <w:tblCellMar>
            <w:top w:w="0" w:type="dxa"/>
            <w:bottom w:w="0" w:type="dxa"/>
          </w:tblCellMar>
        </w:tblPrEx>
        <w:trPr>
          <w:trHeight w:val="780"/>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Specifiche responsabilità  art 17 comma 2 lett.i</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300,00</w:t>
            </w:r>
          </w:p>
        </w:tc>
      </w:tr>
      <w:tr w:rsidR="003620F3">
        <w:tblPrEx>
          <w:tblCellMar>
            <w:top w:w="0" w:type="dxa"/>
            <w:bottom w:w="0" w:type="dxa"/>
          </w:tblCellMar>
        </w:tblPrEx>
        <w:trPr>
          <w:trHeight w:val="525"/>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 xml:space="preserve">Produttività individuale  </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7.590,04</w:t>
            </w:r>
          </w:p>
        </w:tc>
      </w:tr>
      <w:tr w:rsidR="003620F3">
        <w:tblPrEx>
          <w:tblCellMar>
            <w:top w:w="0" w:type="dxa"/>
            <w:bottom w:w="0" w:type="dxa"/>
          </w:tblCellMar>
        </w:tblPrEx>
        <w:trPr>
          <w:trHeight w:val="525"/>
        </w:trPr>
        <w:tc>
          <w:tcPr>
            <w:tcW w:w="5265" w:type="dxa"/>
            <w:tcBorders>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lastRenderedPageBreak/>
              <w:t>Incentivazione specifiche attività Indennità cat. A e B (ex L. 125.000 annue lorde, per dodici mensilità)</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 xml:space="preserve">                      129,00</w:t>
            </w:r>
          </w:p>
        </w:tc>
      </w:tr>
      <w:tr w:rsidR="003620F3">
        <w:tblPrEx>
          <w:tblCellMar>
            <w:top w:w="0" w:type="dxa"/>
            <w:bottom w:w="0" w:type="dxa"/>
          </w:tblCellMar>
        </w:tblPrEx>
        <w:trPr>
          <w:trHeight w:val="635"/>
        </w:trPr>
        <w:tc>
          <w:tcPr>
            <w:tcW w:w="5265" w:type="dxa"/>
            <w:tcBorders>
              <w:top w:val="single" w:sz="8" w:space="0" w:color="000000"/>
              <w:lef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left"/>
              <w:rPr>
                <w:rFonts w:cs="Tahoma"/>
                <w:b/>
                <w:bCs/>
                <w:szCs w:val="22"/>
              </w:rPr>
            </w:pPr>
            <w:r>
              <w:rPr>
                <w:rFonts w:cs="Tahoma"/>
                <w:b/>
                <w:bCs/>
                <w:szCs w:val="22"/>
              </w:rPr>
              <w:t xml:space="preserve">TOTALE </w:t>
            </w:r>
            <w:r>
              <w:rPr>
                <w:rFonts w:cs="Tahoma"/>
                <w:b/>
                <w:bCs/>
                <w:szCs w:val="22"/>
              </w:rPr>
              <w:t>UTILIZZO ALTRE INDENNITA’</w:t>
            </w:r>
          </w:p>
        </w:tc>
        <w:tc>
          <w:tcPr>
            <w:tcW w:w="2790" w:type="dxa"/>
            <w:tcBorders>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12.683,02</w:t>
            </w:r>
          </w:p>
        </w:tc>
      </w:tr>
      <w:tr w:rsidR="003620F3">
        <w:tblPrEx>
          <w:tblCellMar>
            <w:top w:w="0" w:type="dxa"/>
            <w:bottom w:w="0" w:type="dxa"/>
          </w:tblCellMar>
        </w:tblPrEx>
        <w:trPr>
          <w:trHeight w:val="861"/>
        </w:trPr>
        <w:tc>
          <w:tcPr>
            <w:tcW w:w="5265" w:type="dxa"/>
            <w:tcBorders>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pPr>
            <w:r>
              <w:rPr>
                <w:rFonts w:cs="Tahoma"/>
                <w:b/>
                <w:bCs/>
                <w:szCs w:val="22"/>
              </w:rPr>
              <w:t>Lettera k) primo comma art. 15</w:t>
            </w:r>
            <w:r>
              <w:rPr>
                <w:rFonts w:cs="Tahoma"/>
                <w:b/>
                <w:bCs/>
                <w:szCs w:val="22"/>
              </w:rPr>
              <w:br/>
            </w:r>
            <w:r>
              <w:rPr>
                <w:rFonts w:cs="Tahoma"/>
                <w:b/>
                <w:bCs/>
                <w:szCs w:val="22"/>
              </w:rPr>
              <w:t xml:space="preserve">PROGETTAZIONE </w:t>
            </w:r>
            <w:r>
              <w:rPr>
                <w:rFonts w:cs="Tahoma"/>
                <w:b/>
                <w:bCs/>
                <w:i/>
                <w:iCs/>
                <w:szCs w:val="22"/>
              </w:rPr>
              <w:t>RIF Art. 92 comma 5 e 6 D.LGS. 12 APRILE 2006, N. 16</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10.000,00</w:t>
            </w:r>
          </w:p>
        </w:tc>
      </w:tr>
      <w:tr w:rsidR="003620F3">
        <w:tblPrEx>
          <w:tblCellMar>
            <w:top w:w="0" w:type="dxa"/>
            <w:bottom w:w="0" w:type="dxa"/>
          </w:tblCellMar>
        </w:tblPrEx>
        <w:trPr>
          <w:trHeight w:val="620"/>
        </w:trPr>
        <w:tc>
          <w:tcPr>
            <w:tcW w:w="5265" w:type="dxa"/>
            <w:tcBorders>
              <w:top w:val="single" w:sz="8" w:space="0" w:color="000000"/>
              <w:lef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left"/>
            </w:pPr>
            <w:r>
              <w:rPr>
                <w:rFonts w:cs="Tahoma"/>
                <w:b/>
                <w:bCs/>
                <w:szCs w:val="22"/>
              </w:rPr>
              <w:t>Lettera k) primo comma art. 15</w:t>
            </w:r>
            <w:r>
              <w:rPr>
                <w:rFonts w:cs="Tahoma"/>
                <w:b/>
                <w:bCs/>
                <w:szCs w:val="22"/>
              </w:rPr>
              <w:br/>
            </w:r>
            <w:r>
              <w:rPr>
                <w:rFonts w:cs="Tahoma"/>
                <w:b/>
                <w:bCs/>
                <w:i/>
                <w:iCs/>
                <w:szCs w:val="22"/>
              </w:rPr>
              <w:t>RIF - Legge o ALTRO</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747,11</w:t>
            </w:r>
          </w:p>
        </w:tc>
      </w:tr>
      <w:tr w:rsidR="003620F3">
        <w:tblPrEx>
          <w:tblCellMar>
            <w:top w:w="0" w:type="dxa"/>
            <w:bottom w:w="0" w:type="dxa"/>
          </w:tblCellMar>
        </w:tblPrEx>
        <w:trPr>
          <w:trHeight w:val="519"/>
        </w:trPr>
        <w:tc>
          <w:tcPr>
            <w:tcW w:w="5265"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 UTILIZZO LETTERA k)</w:t>
            </w:r>
          </w:p>
        </w:tc>
        <w:tc>
          <w:tcPr>
            <w:tcW w:w="279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10.747,11</w:t>
            </w:r>
          </w:p>
        </w:tc>
      </w:tr>
      <w:tr w:rsidR="003620F3">
        <w:tblPrEx>
          <w:tblCellMar>
            <w:top w:w="0" w:type="dxa"/>
            <w:bottom w:w="0" w:type="dxa"/>
          </w:tblCellMar>
        </w:tblPrEx>
        <w:trPr>
          <w:trHeight w:val="780"/>
        </w:trPr>
        <w:tc>
          <w:tcPr>
            <w:tcW w:w="5265" w:type="dxa"/>
            <w:tcBorders>
              <w:top w:val="single" w:sz="8" w:space="0" w:color="000000"/>
              <w:left w:val="single" w:sz="8" w:space="0" w:color="000000"/>
              <w:bottom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 xml:space="preserve">TOTALE UTILIZZO </w:t>
            </w:r>
            <w:r>
              <w:rPr>
                <w:rFonts w:cs="Tahoma"/>
                <w:b/>
                <w:bCs/>
                <w:szCs w:val="22"/>
              </w:rPr>
              <w:t>FONDO</w:t>
            </w:r>
          </w:p>
        </w:tc>
        <w:tc>
          <w:tcPr>
            <w:tcW w:w="2790" w:type="dxa"/>
            <w:tcBorders>
              <w:bottom w:val="single" w:sz="8" w:space="0" w:color="000000"/>
              <w:right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33.355,94</w:t>
            </w:r>
          </w:p>
        </w:tc>
      </w:tr>
    </w:tbl>
    <w:p w:rsidR="003620F3" w:rsidRDefault="003620F3">
      <w:pPr>
        <w:pStyle w:val="PuntoElencoLettere"/>
        <w:numPr>
          <w:ilvl w:val="0"/>
          <w:numId w:val="0"/>
        </w:numPr>
        <w:tabs>
          <w:tab w:val="clear" w:pos="-873"/>
          <w:tab w:val="left" w:pos="1701"/>
        </w:tabs>
        <w:ind w:left="567" w:hanging="360"/>
        <w:rPr>
          <w:b/>
          <w:szCs w:val="22"/>
          <w:lang w:val="en-GB"/>
        </w:rPr>
      </w:pPr>
    </w:p>
    <w:p w:rsidR="003620F3" w:rsidRDefault="003620F3">
      <w:pPr>
        <w:pStyle w:val="PuntoElencoLettere"/>
        <w:numPr>
          <w:ilvl w:val="0"/>
          <w:numId w:val="0"/>
        </w:numPr>
        <w:tabs>
          <w:tab w:val="clear" w:pos="-873"/>
          <w:tab w:val="left" w:pos="1701"/>
        </w:tabs>
        <w:ind w:left="567" w:hanging="360"/>
        <w:rPr>
          <w:b/>
          <w:szCs w:val="22"/>
          <w:lang w:val="en-GB"/>
        </w:rPr>
      </w:pPr>
    </w:p>
    <w:p w:rsidR="003620F3" w:rsidRDefault="003620F3">
      <w:pPr>
        <w:pStyle w:val="PuntoElencoLettere"/>
        <w:numPr>
          <w:ilvl w:val="0"/>
          <w:numId w:val="0"/>
        </w:numPr>
        <w:tabs>
          <w:tab w:val="clear" w:pos="-873"/>
          <w:tab w:val="left" w:pos="1701"/>
        </w:tabs>
        <w:ind w:left="567" w:hanging="360"/>
        <w:rPr>
          <w:b/>
          <w:szCs w:val="22"/>
          <w:lang w:val="en-GB"/>
        </w:rPr>
      </w:pPr>
    </w:p>
    <w:p w:rsidR="003620F3" w:rsidRDefault="002734FA">
      <w:pPr>
        <w:pStyle w:val="PuntoElencoLettere"/>
        <w:numPr>
          <w:ilvl w:val="0"/>
          <w:numId w:val="0"/>
        </w:numPr>
        <w:tabs>
          <w:tab w:val="clear" w:pos="-873"/>
          <w:tab w:val="left" w:pos="2268"/>
        </w:tabs>
        <w:ind w:left="1134" w:hanging="567"/>
      </w:pPr>
      <w:r>
        <w:rPr>
          <w:b/>
          <w:szCs w:val="22"/>
        </w:rPr>
        <w:tab/>
        <w:t xml:space="preserve">c) Gli </w:t>
      </w:r>
      <w:r>
        <w:rPr>
          <w:b/>
          <w:i/>
          <w:szCs w:val="22"/>
        </w:rPr>
        <w:t>effetti abrogativi impliciti</w:t>
      </w:r>
      <w:r>
        <w:rPr>
          <w:b/>
          <w:szCs w:val="22"/>
        </w:rPr>
        <w:t>, in modo da rendere chiara la successione temporale dei contratti integrativi e la disciplina vigente delle materie demandate alla contrattazione integrativa;</w:t>
      </w:r>
    </w:p>
    <w:p w:rsidR="003620F3" w:rsidRDefault="002734FA">
      <w:pPr>
        <w:pStyle w:val="PuntoElencoLettere"/>
        <w:numPr>
          <w:ilvl w:val="0"/>
          <w:numId w:val="0"/>
        </w:numPr>
        <w:tabs>
          <w:tab w:val="clear" w:pos="-873"/>
          <w:tab w:val="left" w:pos="2268"/>
        </w:tabs>
        <w:ind w:left="1134" w:hanging="360"/>
        <w:rPr>
          <w:szCs w:val="22"/>
        </w:rPr>
      </w:pPr>
      <w:r>
        <w:rPr>
          <w:szCs w:val="22"/>
        </w:rPr>
        <w:t xml:space="preserve">Risultano attualmente in vigore i </w:t>
      </w:r>
      <w:r>
        <w:rPr>
          <w:szCs w:val="22"/>
        </w:rPr>
        <w:t>seguenti CCDI:</w:t>
      </w:r>
    </w:p>
    <w:p w:rsidR="003620F3" w:rsidRDefault="002734FA">
      <w:pPr>
        <w:pStyle w:val="PuntoElencoLettere"/>
        <w:numPr>
          <w:ilvl w:val="0"/>
          <w:numId w:val="0"/>
        </w:numPr>
        <w:tabs>
          <w:tab w:val="clear" w:pos="-873"/>
          <w:tab w:val="left" w:pos="2268"/>
        </w:tabs>
        <w:ind w:left="1134" w:hanging="360"/>
      </w:pPr>
      <w:r>
        <w:rPr>
          <w:szCs w:val="22"/>
        </w:rPr>
        <w:t>E' in fase di perfezionamento l'iter per l'adozione del CCDI relativ</w:t>
      </w:r>
      <w:r>
        <w:rPr>
          <w:color w:val="000000"/>
          <w:szCs w:val="22"/>
        </w:rPr>
        <w:t>o al triennio 2016-2018, con il quale sono state determinate le modalità di attribuzione dell’indennità previste dalla preintesa del 5.10.2016</w:t>
      </w:r>
    </w:p>
    <w:p w:rsidR="003620F3" w:rsidRDefault="002734FA">
      <w:pPr>
        <w:pStyle w:val="PuntoElencoLettere"/>
        <w:numPr>
          <w:ilvl w:val="0"/>
          <w:numId w:val="0"/>
        </w:numPr>
        <w:tabs>
          <w:tab w:val="clear" w:pos="-873"/>
          <w:tab w:val="left" w:pos="2268"/>
        </w:tabs>
        <w:ind w:left="1134" w:hanging="360"/>
        <w:rPr>
          <w:color w:val="000000"/>
          <w:szCs w:val="22"/>
        </w:rPr>
      </w:pPr>
      <w:r>
        <w:rPr>
          <w:color w:val="000000"/>
          <w:szCs w:val="22"/>
        </w:rPr>
        <w:t>Con i precedenti CDIA, in part</w:t>
      </w:r>
      <w:r>
        <w:rPr>
          <w:color w:val="000000"/>
          <w:szCs w:val="22"/>
        </w:rPr>
        <w:t>icolare l'accordo definitivo del 8.11.2010 autorizzato alla sottoscrizione con Del. GC n. 59 del 3.11.2010 è stato riconosciuto l'ultimo passaggio economico.</w:t>
      </w:r>
    </w:p>
    <w:p w:rsidR="003620F3" w:rsidRDefault="002734FA">
      <w:pPr>
        <w:pStyle w:val="PuntoElencoLettere"/>
        <w:numPr>
          <w:ilvl w:val="0"/>
          <w:numId w:val="0"/>
        </w:numPr>
        <w:tabs>
          <w:tab w:val="clear" w:pos="-873"/>
          <w:tab w:val="left" w:pos="2268"/>
        </w:tabs>
        <w:ind w:left="1134" w:hanging="360"/>
        <w:rPr>
          <w:color w:val="000000"/>
          <w:szCs w:val="22"/>
        </w:rPr>
      </w:pPr>
      <w:r>
        <w:rPr>
          <w:color w:val="000000"/>
          <w:szCs w:val="22"/>
        </w:rPr>
        <w:t>In attuazione dei precedenti CDIA, sono attribuite:</w:t>
      </w:r>
    </w:p>
    <w:p w:rsidR="003620F3" w:rsidRDefault="002734FA">
      <w:pPr>
        <w:pStyle w:val="PuntoElencoLettere"/>
        <w:numPr>
          <w:ilvl w:val="0"/>
          <w:numId w:val="32"/>
        </w:numPr>
        <w:tabs>
          <w:tab w:val="clear" w:pos="-873"/>
          <w:tab w:val="left" w:pos="2268"/>
        </w:tabs>
        <w:ind w:left="1134" w:firstLine="0"/>
      </w:pPr>
      <w:r>
        <w:rPr>
          <w:szCs w:val="22"/>
        </w:rPr>
        <w:t xml:space="preserve">Progressioni economiche orizzontali non </w:t>
      </w:r>
      <w:r>
        <w:rPr>
          <w:szCs w:val="22"/>
        </w:rPr>
        <w:t>specificatamente contratte nel CCDI dell'anno (</w:t>
      </w:r>
      <w:r>
        <w:rPr>
          <w:i/>
          <w:szCs w:val="22"/>
        </w:rPr>
        <w:t>art. 17 comma 2 lett. b CCNL 1.4.1999</w:t>
      </w:r>
      <w:r>
        <w:rPr>
          <w:szCs w:val="22"/>
        </w:rPr>
        <w:t>)  € 6.607,69</w:t>
      </w:r>
    </w:p>
    <w:p w:rsidR="003620F3" w:rsidRDefault="003620F3">
      <w:pPr>
        <w:pStyle w:val="PuntoElencoLettere"/>
        <w:numPr>
          <w:ilvl w:val="0"/>
          <w:numId w:val="0"/>
        </w:numPr>
        <w:tabs>
          <w:tab w:val="clear" w:pos="-873"/>
          <w:tab w:val="left" w:pos="2268"/>
        </w:tabs>
        <w:ind w:left="1134" w:hanging="360"/>
        <w:rPr>
          <w:color w:val="FF6600"/>
          <w:szCs w:val="22"/>
        </w:rPr>
      </w:pPr>
    </w:p>
    <w:p w:rsidR="003620F3" w:rsidRDefault="002734FA">
      <w:pPr>
        <w:pStyle w:val="PuntoElencoLettere"/>
        <w:tabs>
          <w:tab w:val="clear" w:pos="-873"/>
          <w:tab w:val="left" w:pos="2268"/>
        </w:tabs>
        <w:ind w:left="1134" w:firstLine="0"/>
      </w:pPr>
      <w:r>
        <w:rPr>
          <w:szCs w:val="22"/>
        </w:rPr>
        <w:t xml:space="preserve">  Altro non specificatamente contrattate nel CCDI dell'anno (</w:t>
      </w:r>
      <w:r>
        <w:rPr>
          <w:i/>
          <w:szCs w:val="22"/>
        </w:rPr>
        <w:t>inserire riferimento) € 129,00</w:t>
      </w:r>
    </w:p>
    <w:p w:rsidR="003620F3" w:rsidRDefault="003620F3">
      <w:pPr>
        <w:pStyle w:val="PuntoElencoLettere"/>
        <w:numPr>
          <w:ilvl w:val="0"/>
          <w:numId w:val="0"/>
        </w:numPr>
        <w:tabs>
          <w:tab w:val="clear" w:pos="-873"/>
          <w:tab w:val="left" w:pos="2268"/>
        </w:tabs>
        <w:ind w:left="1134" w:hanging="360"/>
        <w:rPr>
          <w:color w:val="FF6600"/>
          <w:szCs w:val="22"/>
        </w:rPr>
      </w:pPr>
    </w:p>
    <w:p w:rsidR="003620F3" w:rsidRDefault="003620F3">
      <w:pPr>
        <w:pStyle w:val="PuntoElencoLettere"/>
        <w:numPr>
          <w:ilvl w:val="0"/>
          <w:numId w:val="0"/>
        </w:numPr>
        <w:tabs>
          <w:tab w:val="clear" w:pos="-873"/>
          <w:tab w:val="left" w:pos="2268"/>
        </w:tabs>
        <w:ind w:left="1134" w:hanging="360"/>
        <w:rPr>
          <w:b/>
          <w:color w:val="FF6600"/>
          <w:szCs w:val="22"/>
        </w:rPr>
      </w:pPr>
    </w:p>
    <w:p w:rsidR="003620F3" w:rsidRDefault="003620F3">
      <w:pPr>
        <w:pStyle w:val="PuntoElencoLettere"/>
        <w:numPr>
          <w:ilvl w:val="0"/>
          <w:numId w:val="0"/>
        </w:numPr>
        <w:tabs>
          <w:tab w:val="clear" w:pos="-873"/>
          <w:tab w:val="left" w:pos="2268"/>
        </w:tabs>
        <w:ind w:left="1134" w:hanging="360"/>
        <w:rPr>
          <w:b/>
          <w:color w:val="FF6600"/>
          <w:szCs w:val="22"/>
        </w:rPr>
      </w:pPr>
    </w:p>
    <w:p w:rsidR="003620F3" w:rsidRDefault="002734FA">
      <w:pPr>
        <w:pStyle w:val="PuntoElencoLettere"/>
        <w:numPr>
          <w:ilvl w:val="0"/>
          <w:numId w:val="0"/>
        </w:numPr>
        <w:tabs>
          <w:tab w:val="clear" w:pos="-873"/>
          <w:tab w:val="left" w:pos="2268"/>
        </w:tabs>
        <w:ind w:left="1134" w:hanging="360"/>
      </w:pPr>
      <w:r>
        <w:rPr>
          <w:b/>
          <w:szCs w:val="22"/>
        </w:rPr>
        <w:t xml:space="preserve">d) Illustrazione e specifica attestazione della coerenza con </w:t>
      </w:r>
      <w:r>
        <w:rPr>
          <w:b/>
          <w:szCs w:val="22"/>
        </w:rPr>
        <w:t xml:space="preserve">le previsioni in materia di </w:t>
      </w:r>
      <w:r>
        <w:rPr>
          <w:b/>
          <w:i/>
          <w:szCs w:val="22"/>
        </w:rPr>
        <w:t xml:space="preserve">meritocrazia </w:t>
      </w:r>
      <w:r>
        <w:rPr>
          <w:b/>
          <w:szCs w:val="22"/>
        </w:rPr>
        <w:t>e</w:t>
      </w:r>
      <w:r>
        <w:rPr>
          <w:b/>
          <w:i/>
          <w:szCs w:val="22"/>
        </w:rPr>
        <w:t xml:space="preserve"> premialità</w:t>
      </w:r>
      <w:r>
        <w:rPr>
          <w:b/>
          <w:szCs w:val="22"/>
        </w:rPr>
        <w:t xml:space="preserve"> (coerenza con il Titolo III del Decreto Legislativo n. 150/2009, le norme di contratto nazionale e la giurisprudenza contabile) ai fini della corresponsione degli incentivi per la performance individual</w:t>
      </w:r>
      <w:r>
        <w:rPr>
          <w:b/>
          <w:szCs w:val="22"/>
        </w:rPr>
        <w:t>e ed organizzativa;</w:t>
      </w:r>
    </w:p>
    <w:p w:rsidR="003620F3" w:rsidRDefault="002734FA">
      <w:pPr>
        <w:pStyle w:val="PuntoElencoLettere"/>
        <w:numPr>
          <w:ilvl w:val="0"/>
          <w:numId w:val="0"/>
        </w:numPr>
        <w:tabs>
          <w:tab w:val="clear" w:pos="-873"/>
          <w:tab w:val="left" w:pos="2268"/>
        </w:tabs>
        <w:ind w:left="1134" w:hanging="360"/>
      </w:pPr>
      <w:r>
        <w:rPr>
          <w:szCs w:val="22"/>
        </w:rPr>
        <w:t>Non è stato adotattata una nuova metodologia di valutazione adeguata alle disposizione del D.lgs 150/2009</w:t>
      </w:r>
    </w:p>
    <w:p w:rsidR="003620F3" w:rsidRDefault="002734FA">
      <w:pPr>
        <w:pStyle w:val="PuntoElencoLettere"/>
        <w:numPr>
          <w:ilvl w:val="0"/>
          <w:numId w:val="0"/>
        </w:numPr>
        <w:tabs>
          <w:tab w:val="clear" w:pos="-873"/>
          <w:tab w:val="left" w:pos="2268"/>
        </w:tabs>
        <w:ind w:left="1134" w:hanging="360"/>
        <w:rPr>
          <w:szCs w:val="22"/>
        </w:rPr>
      </w:pPr>
      <w:r>
        <w:rPr>
          <w:szCs w:val="22"/>
        </w:rPr>
        <w:t>Non è stata approvata una nuova metodologia di valutazione, poiché quella vigente risulta coerente con le novità introdotte dal D.</w:t>
      </w:r>
      <w:r>
        <w:rPr>
          <w:szCs w:val="22"/>
        </w:rPr>
        <w:t>lgs 150/2009 e con le modifiche apportate al Regolamento degli Uffici e dei Servizi. In particolare sono contenute previsioni di valutazione di merito e sono esclusi elementi automatici come l’anzianità di servizio.</w:t>
      </w:r>
    </w:p>
    <w:p w:rsidR="003620F3" w:rsidRDefault="003620F3">
      <w:pPr>
        <w:pStyle w:val="Standard"/>
        <w:tabs>
          <w:tab w:val="left" w:pos="1134"/>
        </w:tabs>
        <w:jc w:val="left"/>
        <w:rPr>
          <w:rFonts w:ascii="Tahoma" w:hAnsi="Tahoma" w:cs="Tahoma"/>
          <w:color w:val="FF6600"/>
          <w:sz w:val="20"/>
          <w:szCs w:val="20"/>
          <w:lang w:eastAsia="it-IT"/>
        </w:rPr>
      </w:pPr>
    </w:p>
    <w:p w:rsidR="003620F3" w:rsidRDefault="002734FA">
      <w:pPr>
        <w:pStyle w:val="PuntoElencoLettere"/>
        <w:numPr>
          <w:ilvl w:val="0"/>
          <w:numId w:val="0"/>
        </w:numPr>
        <w:tabs>
          <w:tab w:val="clear" w:pos="-873"/>
          <w:tab w:val="left" w:pos="2268"/>
        </w:tabs>
        <w:ind w:left="1134" w:hanging="360"/>
      </w:pPr>
      <w:r>
        <w:rPr>
          <w:b/>
          <w:szCs w:val="22"/>
        </w:rPr>
        <w:t xml:space="preserve">e) illustrazione e specifica </w:t>
      </w:r>
      <w:r>
        <w:rPr>
          <w:b/>
          <w:bCs/>
          <w:szCs w:val="22"/>
        </w:rPr>
        <w:t>attestazio</w:t>
      </w:r>
      <w:r>
        <w:rPr>
          <w:b/>
          <w:bCs/>
          <w:szCs w:val="22"/>
        </w:rPr>
        <w:t xml:space="preserve">ne </w:t>
      </w:r>
      <w:r>
        <w:rPr>
          <w:b/>
          <w:szCs w:val="22"/>
        </w:rPr>
        <w:t xml:space="preserve">della coerenza con il principio di </w:t>
      </w:r>
      <w:r>
        <w:rPr>
          <w:b/>
          <w:i/>
          <w:szCs w:val="22"/>
        </w:rPr>
        <w:t>selettività delle progressioni economiche</w:t>
      </w:r>
      <w:r>
        <w:rPr>
          <w:b/>
          <w:szCs w:val="22"/>
        </w:rPr>
        <w:t xml:space="preserve"> finanziate con il Fondo per la contrattazione integrativa - progressioni orizzontali – ai sensi dell’articolo 23 del Decreto Legislativo n. 150/2009 (previsione di valutazioni </w:t>
      </w:r>
      <w:r>
        <w:rPr>
          <w:b/>
          <w:szCs w:val="22"/>
        </w:rPr>
        <w:t>di merito ed esclusione di elementi automatici come l’anzianità di servizio);</w:t>
      </w:r>
    </w:p>
    <w:p w:rsidR="003620F3" w:rsidRDefault="003620F3">
      <w:pPr>
        <w:pStyle w:val="PuntoElencoLettere"/>
        <w:numPr>
          <w:ilvl w:val="0"/>
          <w:numId w:val="0"/>
        </w:numPr>
        <w:tabs>
          <w:tab w:val="clear" w:pos="-873"/>
          <w:tab w:val="left" w:pos="2268"/>
        </w:tabs>
        <w:ind w:left="1134" w:hanging="360"/>
        <w:rPr>
          <w:szCs w:val="22"/>
        </w:rPr>
      </w:pPr>
    </w:p>
    <w:p w:rsidR="003620F3" w:rsidRDefault="002734FA">
      <w:pPr>
        <w:pStyle w:val="PuntoElencoLettere"/>
        <w:numPr>
          <w:ilvl w:val="0"/>
          <w:numId w:val="0"/>
        </w:numPr>
        <w:tabs>
          <w:tab w:val="clear" w:pos="-873"/>
          <w:tab w:val="left" w:pos="2268"/>
        </w:tabs>
        <w:ind w:left="1134" w:hanging="360"/>
      </w:pPr>
      <w:r>
        <w:rPr>
          <w:szCs w:val="22"/>
        </w:rPr>
        <w:t>Per l’anno 2016 non sono state previste nuove progressioni economiche orizzontali. Non sono stati contrattati quindi nuovi criteri anche se è stato condiviso tra le parti che il</w:t>
      </w:r>
      <w:r>
        <w:rPr>
          <w:szCs w:val="22"/>
        </w:rPr>
        <w:t xml:space="preserve"> sistema utilizzato per valutare la performance sarà utilizzato qualora si dovessero prevedere nuove progressioni economiche.</w:t>
      </w:r>
    </w:p>
    <w:p w:rsidR="003620F3" w:rsidRDefault="003620F3">
      <w:pPr>
        <w:pStyle w:val="Standard"/>
        <w:tabs>
          <w:tab w:val="left" w:pos="1134"/>
        </w:tabs>
        <w:jc w:val="left"/>
        <w:rPr>
          <w:rFonts w:ascii="Tahoma" w:hAnsi="Tahoma" w:cs="Tahoma"/>
          <w:color w:val="FF6600"/>
          <w:sz w:val="20"/>
          <w:szCs w:val="20"/>
          <w:lang w:eastAsia="it-IT"/>
        </w:rPr>
      </w:pPr>
    </w:p>
    <w:p w:rsidR="003620F3" w:rsidRDefault="002734FA">
      <w:pPr>
        <w:pStyle w:val="PuntoElencoLettere"/>
        <w:numPr>
          <w:ilvl w:val="0"/>
          <w:numId w:val="0"/>
        </w:numPr>
        <w:tabs>
          <w:tab w:val="clear" w:pos="-873"/>
          <w:tab w:val="left" w:pos="2268"/>
        </w:tabs>
        <w:ind w:left="1134" w:hanging="567"/>
      </w:pPr>
      <w:r>
        <w:rPr>
          <w:b/>
          <w:szCs w:val="22"/>
        </w:rPr>
        <w:tab/>
        <w:t xml:space="preserve">f) illustrazione dei </w:t>
      </w:r>
      <w:r>
        <w:rPr>
          <w:b/>
          <w:i/>
          <w:szCs w:val="22"/>
        </w:rPr>
        <w:t xml:space="preserve">risultati attesi </w:t>
      </w:r>
      <w:r>
        <w:rPr>
          <w:b/>
          <w:iCs/>
          <w:szCs w:val="22"/>
        </w:rPr>
        <w:t>dalla sottoscrizione del contratto integrativo,</w:t>
      </w:r>
      <w:r>
        <w:rPr>
          <w:b/>
          <w:i/>
          <w:szCs w:val="22"/>
        </w:rPr>
        <w:t xml:space="preserve"> </w:t>
      </w:r>
      <w:r>
        <w:rPr>
          <w:b/>
          <w:szCs w:val="22"/>
        </w:rPr>
        <w:t>in correlazione con gli strumenti di progr</w:t>
      </w:r>
      <w:r>
        <w:rPr>
          <w:b/>
          <w:szCs w:val="22"/>
        </w:rPr>
        <w:t>ammazione gestionale (Piano della Performance), adottati dall’Amministrazione in coerenza con le previsioni del Titolo II del Decreto Legislativo n. 150/2009.</w:t>
      </w:r>
    </w:p>
    <w:p w:rsidR="003620F3" w:rsidRDefault="002734FA">
      <w:pPr>
        <w:pStyle w:val="PuntoElencoLettere"/>
        <w:numPr>
          <w:ilvl w:val="0"/>
          <w:numId w:val="0"/>
        </w:numPr>
        <w:tabs>
          <w:tab w:val="clear" w:pos="-873"/>
          <w:tab w:val="left" w:pos="2268"/>
        </w:tabs>
        <w:ind w:left="1134" w:hanging="567"/>
        <w:rPr>
          <w:b/>
          <w:szCs w:val="22"/>
        </w:rPr>
      </w:pPr>
      <w:r>
        <w:rPr>
          <w:b/>
          <w:szCs w:val="22"/>
        </w:rPr>
        <w:tab/>
        <w:t>g) altre informazioni eventualmente ritenute utili per la migliore comprensione degli istituti r</w:t>
      </w:r>
      <w:r>
        <w:rPr>
          <w:b/>
          <w:szCs w:val="22"/>
        </w:rPr>
        <w:t>egolati dal contratto.</w:t>
      </w:r>
    </w:p>
    <w:p w:rsidR="003620F3" w:rsidRDefault="002734FA">
      <w:pPr>
        <w:pStyle w:val="PuntoElencoLettere"/>
        <w:numPr>
          <w:ilvl w:val="0"/>
          <w:numId w:val="0"/>
        </w:numPr>
        <w:tabs>
          <w:tab w:val="clear" w:pos="-873"/>
          <w:tab w:val="left" w:pos="2268"/>
        </w:tabs>
        <w:ind w:left="1134" w:hanging="360"/>
        <w:rPr>
          <w:szCs w:val="22"/>
        </w:rPr>
      </w:pPr>
      <w:r>
        <w:rPr>
          <w:szCs w:val="22"/>
        </w:rPr>
        <w:t>Nessun'altra informazione</w:t>
      </w:r>
    </w:p>
    <w:p w:rsidR="003620F3" w:rsidRDefault="003620F3">
      <w:pPr>
        <w:pStyle w:val="PuntoElencoLettere"/>
        <w:numPr>
          <w:ilvl w:val="0"/>
          <w:numId w:val="0"/>
        </w:numPr>
        <w:tabs>
          <w:tab w:val="clear" w:pos="-873"/>
          <w:tab w:val="left" w:pos="2268"/>
        </w:tabs>
        <w:ind w:left="1134" w:hanging="360"/>
        <w:rPr>
          <w:i/>
          <w:color w:val="FF6600"/>
          <w:szCs w:val="22"/>
        </w:rPr>
      </w:pPr>
    </w:p>
    <w:p w:rsidR="003620F3" w:rsidRDefault="002734FA">
      <w:pPr>
        <w:pStyle w:val="Titolo1"/>
        <w:spacing w:before="0" w:after="0"/>
        <w:jc w:val="center"/>
        <w:rPr>
          <w:sz w:val="36"/>
          <w:szCs w:val="36"/>
        </w:rPr>
      </w:pPr>
      <w:r>
        <w:rPr>
          <w:sz w:val="36"/>
          <w:szCs w:val="36"/>
        </w:rPr>
        <w:lastRenderedPageBreak/>
        <w:t>Relazione tecnico-finanziaria</w:t>
      </w:r>
    </w:p>
    <w:p w:rsidR="003620F3" w:rsidRDefault="002734FA">
      <w:pPr>
        <w:pStyle w:val="Titolo2"/>
        <w:ind w:left="357"/>
        <w:jc w:val="center"/>
        <w:rPr>
          <w:color w:val="31849B"/>
          <w:szCs w:val="28"/>
          <w:shd w:val="clear" w:color="auto" w:fill="FFFFFF"/>
        </w:rPr>
      </w:pPr>
      <w:r>
        <w:rPr>
          <w:color w:val="31849B"/>
          <w:szCs w:val="28"/>
          <w:shd w:val="clear" w:color="auto" w:fill="FFFFFF"/>
        </w:rPr>
        <w:t>Modulo I - La costituzione del Fondo per la contrattazione integrativa</w:t>
      </w:r>
    </w:p>
    <w:p w:rsidR="003620F3" w:rsidRDefault="002734FA">
      <w:pPr>
        <w:pStyle w:val="Standard"/>
        <w:tabs>
          <w:tab w:val="left" w:pos="11160"/>
        </w:tabs>
        <w:ind w:left="1080" w:right="360" w:firstLine="0"/>
      </w:pPr>
      <w:r>
        <w:rPr>
          <w:szCs w:val="22"/>
        </w:rPr>
        <w:t>Il Fondo per lo sviluppo delle risorse umane per l’anno 2016 ha seguito il seguente iter:</w:t>
      </w:r>
    </w:p>
    <w:p w:rsidR="003620F3" w:rsidRDefault="002734FA">
      <w:pPr>
        <w:pStyle w:val="Standard"/>
        <w:tabs>
          <w:tab w:val="left" w:pos="11160"/>
        </w:tabs>
        <w:ind w:left="1080" w:right="360" w:firstLine="0"/>
      </w:pPr>
      <w:r>
        <w:rPr>
          <w:szCs w:val="22"/>
        </w:rPr>
        <w:t xml:space="preserve">- Delibera n. </w:t>
      </w:r>
      <w:r>
        <w:rPr>
          <w:szCs w:val="22"/>
        </w:rPr>
        <w:t xml:space="preserve">21 del 17.06.2016  di indirizzo </w:t>
      </w:r>
      <w:r>
        <w:rPr>
          <w:i/>
          <w:color w:val="000000"/>
          <w:szCs w:val="22"/>
        </w:rPr>
        <w:t>della</w:t>
      </w:r>
      <w:r>
        <w:rPr>
          <w:color w:val="000000"/>
          <w:szCs w:val="22"/>
        </w:rPr>
        <w:t xml:space="preserve"> </w:t>
      </w:r>
      <w:r>
        <w:rPr>
          <w:szCs w:val="22"/>
        </w:rPr>
        <w:t>Giunta Comunale alla delegazione di parte pubblica e per la costituzione del Fondo 2016</w:t>
      </w:r>
    </w:p>
    <w:p w:rsidR="003620F3" w:rsidRDefault="002734FA">
      <w:pPr>
        <w:pStyle w:val="Standard"/>
        <w:tabs>
          <w:tab w:val="left" w:pos="11160"/>
        </w:tabs>
        <w:ind w:left="1080" w:right="360" w:firstLine="0"/>
      </w:pPr>
      <w:r>
        <w:rPr>
          <w:szCs w:val="22"/>
        </w:rPr>
        <w:t xml:space="preserve">- Determina </w:t>
      </w:r>
      <w:r>
        <w:t xml:space="preserve">n. 50 del 20.07.2016 </w:t>
      </w:r>
      <w:r>
        <w:rPr>
          <w:szCs w:val="22"/>
        </w:rPr>
        <w:t>del Responsabile Dott. Domenico Delussu della costituzione del Fondo 2016;</w:t>
      </w:r>
    </w:p>
    <w:p w:rsidR="003620F3" w:rsidRDefault="003620F3">
      <w:pPr>
        <w:pStyle w:val="Standard"/>
        <w:rPr>
          <w:szCs w:val="22"/>
        </w:rPr>
      </w:pPr>
    </w:p>
    <w:p w:rsidR="003620F3" w:rsidRDefault="002734FA">
      <w:pPr>
        <w:pStyle w:val="Titolo3"/>
      </w:pPr>
      <w:r>
        <w:t>Sezione I - Risorse f</w:t>
      </w:r>
      <w:r>
        <w:t>isse aventi carattere di certezza e stabilità</w:t>
      </w:r>
    </w:p>
    <w:p w:rsidR="003620F3" w:rsidRDefault="002734FA">
      <w:pPr>
        <w:pStyle w:val="Standard"/>
        <w:ind w:left="1080" w:firstLine="0"/>
      </w:pPr>
      <w:r>
        <w:rPr>
          <w:szCs w:val="22"/>
        </w:rPr>
        <w:t>Il fondo destinato alle politiche di sviluppo delle risorse umane ed alla produttività, in applicazione dell’art. 31 del CCNL del 22.01.2004, per l’anno 2016 risulta, come da allegato schema di costituzione del</w:t>
      </w:r>
      <w:r>
        <w:rPr>
          <w:szCs w:val="22"/>
        </w:rPr>
        <w:t xml:space="preserve"> Fondo così riepilogato:</w:t>
      </w:r>
    </w:p>
    <w:p w:rsidR="003620F3" w:rsidRDefault="003620F3">
      <w:pPr>
        <w:pStyle w:val="Standard"/>
        <w:ind w:left="1080" w:firstLine="0"/>
        <w:rPr>
          <w:szCs w:val="22"/>
        </w:rPr>
      </w:pPr>
    </w:p>
    <w:tbl>
      <w:tblPr>
        <w:tblW w:w="7588" w:type="dxa"/>
        <w:tblInd w:w="966" w:type="dxa"/>
        <w:tblLayout w:type="fixed"/>
        <w:tblCellMar>
          <w:left w:w="10" w:type="dxa"/>
          <w:right w:w="10" w:type="dxa"/>
        </w:tblCellMar>
        <w:tblLook w:val="04A0" w:firstRow="1" w:lastRow="0" w:firstColumn="1" w:lastColumn="0" w:noHBand="0" w:noVBand="1"/>
      </w:tblPr>
      <w:tblGrid>
        <w:gridCol w:w="7588"/>
      </w:tblGrid>
      <w:tr w:rsidR="003620F3">
        <w:tblPrEx>
          <w:tblCellMar>
            <w:top w:w="0" w:type="dxa"/>
            <w:bottom w:w="0" w:type="dxa"/>
          </w:tblCellMar>
        </w:tblPrEx>
        <w:trPr>
          <w:trHeight w:val="990"/>
        </w:trPr>
        <w:tc>
          <w:tcPr>
            <w:tcW w:w="7588" w:type="dxa"/>
            <w:tcBorders>
              <w:top w:val="single" w:sz="8" w:space="0" w:color="000000"/>
              <w:left w:val="single" w:sz="8" w:space="0" w:color="000000"/>
              <w:bottom w:val="single" w:sz="8" w:space="0" w:color="000000"/>
              <w:right w:val="single" w:sz="4"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left="-1020" w:firstLine="0"/>
              <w:jc w:val="center"/>
              <w:rPr>
                <w:rFonts w:ascii="Tahoma" w:hAnsi="Tahoma" w:cs="Tahoma"/>
                <w:b/>
                <w:bCs/>
                <w:sz w:val="24"/>
                <w:szCs w:val="22"/>
              </w:rPr>
            </w:pPr>
            <w:r>
              <w:rPr>
                <w:rFonts w:ascii="Tahoma" w:hAnsi="Tahoma" w:cs="Tahoma"/>
                <w:b/>
                <w:bCs/>
                <w:sz w:val="24"/>
                <w:szCs w:val="22"/>
              </w:rPr>
              <w:t>RISORSE FISSE AVENTI CARATTERE DI CERTEZZA</w:t>
            </w:r>
          </w:p>
          <w:p w:rsidR="003620F3" w:rsidRDefault="002734FA">
            <w:pPr>
              <w:pStyle w:val="Standard"/>
              <w:snapToGrid w:val="0"/>
              <w:spacing w:after="0"/>
              <w:ind w:left="-1020" w:firstLine="0"/>
              <w:jc w:val="center"/>
              <w:rPr>
                <w:rFonts w:ascii="Tahoma" w:hAnsi="Tahoma" w:cs="Tahoma"/>
                <w:b/>
                <w:bCs/>
                <w:sz w:val="24"/>
                <w:szCs w:val="22"/>
              </w:rPr>
            </w:pPr>
            <w:r>
              <w:rPr>
                <w:rFonts w:ascii="Tahoma" w:hAnsi="Tahoma" w:cs="Tahoma"/>
                <w:b/>
                <w:bCs/>
                <w:sz w:val="24"/>
                <w:szCs w:val="22"/>
              </w:rPr>
              <w:t>E STABILITÀ</w:t>
            </w:r>
          </w:p>
        </w:tc>
      </w:tr>
    </w:tbl>
    <w:p w:rsidR="003620F3" w:rsidRDefault="003620F3">
      <w:pPr>
        <w:rPr>
          <w:rFonts w:ascii="Calibri" w:eastAsia="Times New Roman" w:hAnsi="Calibri" w:cs="Times New Roman"/>
          <w:vanish/>
          <w:sz w:val="22"/>
          <w:lang w:bidi="ar-SA"/>
        </w:rPr>
      </w:pPr>
    </w:p>
    <w:tbl>
      <w:tblPr>
        <w:tblW w:w="7588" w:type="dxa"/>
        <w:tblInd w:w="966" w:type="dxa"/>
        <w:tblLayout w:type="fixed"/>
        <w:tblCellMar>
          <w:left w:w="10" w:type="dxa"/>
          <w:right w:w="10" w:type="dxa"/>
        </w:tblCellMar>
        <w:tblLook w:val="04A0" w:firstRow="1" w:lastRow="0" w:firstColumn="1" w:lastColumn="0" w:noHBand="0" w:noVBand="1"/>
      </w:tblPr>
      <w:tblGrid>
        <w:gridCol w:w="5790"/>
        <w:gridCol w:w="1798"/>
      </w:tblGrid>
      <w:tr w:rsidR="003620F3">
        <w:tblPrEx>
          <w:tblCellMar>
            <w:top w:w="0" w:type="dxa"/>
            <w:bottom w:w="0" w:type="dxa"/>
          </w:tblCellMar>
        </w:tblPrEx>
        <w:trPr>
          <w:trHeight w:val="675"/>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pPr>
            <w:r>
              <w:rPr>
                <w:rFonts w:ascii="Tahoma" w:hAnsi="Tahoma" w:cs="Tahoma"/>
                <w:b/>
                <w:bCs/>
                <w:sz w:val="20"/>
                <w:szCs w:val="22"/>
              </w:rPr>
              <w:t>Totale Risorse storiche - Unico importo consolidato art. 31 c. 2 CCNL 22.01.2004</w:t>
            </w:r>
          </w:p>
          <w:p w:rsidR="003620F3" w:rsidRDefault="003620F3">
            <w:pPr>
              <w:pStyle w:val="Standard"/>
              <w:snapToGrid w:val="0"/>
              <w:spacing w:after="0"/>
              <w:ind w:firstLine="0"/>
              <w:jc w:val="center"/>
              <w:rPr>
                <w:rFonts w:cs="Tahoma"/>
                <w:b/>
                <w:bCs/>
                <w:szCs w:val="22"/>
              </w:rPr>
            </w:pP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11.931,62</w:t>
            </w:r>
          </w:p>
        </w:tc>
      </w:tr>
      <w:tr w:rsidR="003620F3">
        <w:tblPrEx>
          <w:tblCellMar>
            <w:top w:w="0" w:type="dxa"/>
            <w:bottom w:w="0" w:type="dxa"/>
          </w:tblCellMar>
        </w:tblPrEx>
        <w:trPr>
          <w:trHeight w:val="637"/>
        </w:trPr>
        <w:tc>
          <w:tcPr>
            <w:tcW w:w="7588" w:type="dxa"/>
            <w:gridSpan w:val="2"/>
            <w:tcBorders>
              <w:top w:val="single" w:sz="8" w:space="0" w:color="000000"/>
              <w:left w:val="single" w:sz="8" w:space="0" w:color="000000"/>
              <w:bottom w:val="single" w:sz="8" w:space="0" w:color="000000"/>
              <w:right w:val="single" w:sz="4"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left="-1020" w:firstLine="0"/>
              <w:jc w:val="center"/>
              <w:rPr>
                <w:rFonts w:ascii="Tahoma" w:hAnsi="Tahoma" w:cs="Tahoma"/>
                <w:b/>
                <w:bCs/>
                <w:sz w:val="24"/>
                <w:szCs w:val="22"/>
              </w:rPr>
            </w:pPr>
            <w:r>
              <w:rPr>
                <w:rFonts w:ascii="Tahoma" w:hAnsi="Tahoma" w:cs="Tahoma"/>
                <w:b/>
                <w:bCs/>
                <w:sz w:val="24"/>
                <w:szCs w:val="22"/>
              </w:rPr>
              <w:t>Incrementi contrattuali consolidati</w:t>
            </w:r>
          </w:p>
        </w:tc>
      </w:tr>
      <w:tr w:rsidR="003620F3">
        <w:tblPrEx>
          <w:tblCellMar>
            <w:top w:w="0" w:type="dxa"/>
            <w:bottom w:w="0" w:type="dxa"/>
          </w:tblCellMar>
        </w:tblPrEx>
        <w:trPr>
          <w:trHeight w:val="525"/>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ind w:firstLine="0"/>
              <w:jc w:val="left"/>
              <w:rPr>
                <w:rFonts w:cs="Tahoma"/>
                <w:szCs w:val="22"/>
              </w:rPr>
            </w:pPr>
            <w:r>
              <w:rPr>
                <w:rFonts w:cs="Tahoma"/>
                <w:szCs w:val="22"/>
              </w:rPr>
              <w:t>Art. 32 c. 1 CCNL 22.01.2004</w:t>
            </w: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1.047,58</w:t>
            </w:r>
          </w:p>
        </w:tc>
      </w:tr>
      <w:tr w:rsidR="003620F3">
        <w:tblPrEx>
          <w:tblCellMar>
            <w:top w:w="0" w:type="dxa"/>
            <w:bottom w:w="0" w:type="dxa"/>
          </w:tblCellMar>
        </w:tblPrEx>
        <w:trPr>
          <w:trHeight w:val="615"/>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ind w:firstLine="0"/>
              <w:jc w:val="left"/>
              <w:rPr>
                <w:rFonts w:cs="Tahoma"/>
                <w:szCs w:val="22"/>
              </w:rPr>
            </w:pPr>
            <w:r>
              <w:rPr>
                <w:rFonts w:cs="Tahoma"/>
                <w:szCs w:val="22"/>
              </w:rPr>
              <w:t>Art.8 c. 2 CCNL 11.4.2008</w:t>
            </w: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951,70</w:t>
            </w:r>
          </w:p>
        </w:tc>
      </w:tr>
      <w:tr w:rsidR="003620F3">
        <w:tblPrEx>
          <w:tblCellMar>
            <w:top w:w="0" w:type="dxa"/>
            <w:bottom w:w="0" w:type="dxa"/>
          </w:tblCellMar>
        </w:tblPrEx>
        <w:trPr>
          <w:trHeight w:val="510"/>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ascii="Tahoma" w:hAnsi="Tahoma" w:cs="Tahoma"/>
                <w:b/>
                <w:bCs/>
                <w:sz w:val="20"/>
                <w:szCs w:val="22"/>
              </w:rPr>
            </w:pPr>
            <w:r>
              <w:rPr>
                <w:rFonts w:ascii="Tahoma" w:hAnsi="Tahoma" w:cs="Tahoma"/>
                <w:b/>
                <w:bCs/>
                <w:sz w:val="20"/>
                <w:szCs w:val="22"/>
              </w:rPr>
              <w:t>Totale incrementi contrattuali consolidati</w:t>
            </w:r>
          </w:p>
          <w:p w:rsidR="003620F3" w:rsidRDefault="003620F3">
            <w:pPr>
              <w:pStyle w:val="Standard"/>
              <w:snapToGrid w:val="0"/>
              <w:spacing w:after="0"/>
              <w:ind w:firstLine="0"/>
              <w:jc w:val="left"/>
              <w:rPr>
                <w:rFonts w:cs="Tahoma"/>
                <w:b/>
                <w:bCs/>
                <w:szCs w:val="22"/>
              </w:rPr>
            </w:pP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1.999,28</w:t>
            </w:r>
          </w:p>
        </w:tc>
      </w:tr>
      <w:tr w:rsidR="003620F3">
        <w:tblPrEx>
          <w:tblCellMar>
            <w:top w:w="0" w:type="dxa"/>
            <w:bottom w:w="0" w:type="dxa"/>
          </w:tblCellMar>
        </w:tblPrEx>
        <w:trPr>
          <w:trHeight w:val="630"/>
        </w:trPr>
        <w:tc>
          <w:tcPr>
            <w:tcW w:w="7588" w:type="dxa"/>
            <w:gridSpan w:val="2"/>
            <w:tcBorders>
              <w:top w:val="single" w:sz="8" w:space="0" w:color="000000"/>
              <w:left w:val="single" w:sz="8" w:space="0" w:color="000000"/>
              <w:bottom w:val="single" w:sz="8" w:space="0" w:color="000000"/>
              <w:right w:val="single" w:sz="4"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ascii="Tahoma" w:hAnsi="Tahoma" w:cs="Tahoma"/>
                <w:b/>
                <w:bCs/>
                <w:sz w:val="24"/>
                <w:szCs w:val="22"/>
              </w:rPr>
            </w:pPr>
            <w:r>
              <w:rPr>
                <w:rFonts w:ascii="Tahoma" w:hAnsi="Tahoma" w:cs="Tahoma"/>
                <w:b/>
                <w:bCs/>
                <w:sz w:val="24"/>
                <w:szCs w:val="22"/>
              </w:rPr>
              <w:t>Altri incrementi con carattere di certezza e stabilità</w:t>
            </w:r>
          </w:p>
        </w:tc>
      </w:tr>
      <w:tr w:rsidR="003620F3">
        <w:tblPrEx>
          <w:tblCellMar>
            <w:top w:w="0" w:type="dxa"/>
            <w:bottom w:w="0" w:type="dxa"/>
          </w:tblCellMar>
        </w:tblPrEx>
        <w:trPr>
          <w:trHeight w:val="489"/>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ind w:firstLine="0"/>
              <w:rPr>
                <w:rFonts w:cs="Tahoma"/>
                <w:szCs w:val="22"/>
              </w:rPr>
            </w:pPr>
            <w:r>
              <w:rPr>
                <w:rFonts w:cs="Tahoma"/>
                <w:szCs w:val="22"/>
              </w:rPr>
              <w:t>Art. 4 c. 2 CCNL 5.10.2001</w:t>
            </w: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2.430,89</w:t>
            </w:r>
          </w:p>
        </w:tc>
      </w:tr>
      <w:tr w:rsidR="003620F3">
        <w:tblPrEx>
          <w:tblCellMar>
            <w:top w:w="0" w:type="dxa"/>
            <w:bottom w:w="0" w:type="dxa"/>
          </w:tblCellMar>
        </w:tblPrEx>
        <w:trPr>
          <w:trHeight w:val="690"/>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ind w:firstLine="0"/>
              <w:rPr>
                <w:rFonts w:cs="Tahoma"/>
                <w:szCs w:val="22"/>
              </w:rPr>
            </w:pPr>
            <w:r>
              <w:rPr>
                <w:rFonts w:cs="Tahoma"/>
                <w:szCs w:val="22"/>
              </w:rPr>
              <w:t>Dichiarazione congiunta n° 14 del CCNL 22.1.2004 e  n° 1 del CCNL 31.7.2009</w:t>
            </w: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1.249,01</w:t>
            </w:r>
          </w:p>
        </w:tc>
      </w:tr>
      <w:tr w:rsidR="003620F3">
        <w:tblPrEx>
          <w:tblCellMar>
            <w:top w:w="0" w:type="dxa"/>
            <w:bottom w:w="0" w:type="dxa"/>
          </w:tblCellMar>
        </w:tblPrEx>
        <w:trPr>
          <w:trHeight w:val="735"/>
        </w:trPr>
        <w:tc>
          <w:tcPr>
            <w:tcW w:w="579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ascii="Tahoma" w:hAnsi="Tahoma" w:cs="Tahoma"/>
                <w:b/>
                <w:bCs/>
                <w:sz w:val="20"/>
                <w:szCs w:val="22"/>
              </w:rPr>
            </w:pPr>
            <w:r>
              <w:rPr>
                <w:rFonts w:ascii="Tahoma" w:hAnsi="Tahoma" w:cs="Tahoma"/>
                <w:b/>
                <w:bCs/>
                <w:sz w:val="20"/>
                <w:szCs w:val="22"/>
              </w:rPr>
              <w:t>Totale altri incrementi con carattere di certezza e stabilità</w:t>
            </w:r>
          </w:p>
        </w:tc>
        <w:tc>
          <w:tcPr>
            <w:tcW w:w="179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3.679,90</w:t>
            </w:r>
          </w:p>
        </w:tc>
      </w:tr>
      <w:tr w:rsidR="003620F3">
        <w:tblPrEx>
          <w:tblCellMar>
            <w:top w:w="0" w:type="dxa"/>
            <w:bottom w:w="0" w:type="dxa"/>
          </w:tblCellMar>
        </w:tblPrEx>
        <w:trPr>
          <w:trHeight w:val="990"/>
        </w:trPr>
        <w:tc>
          <w:tcPr>
            <w:tcW w:w="5790"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TOTALE RISORSE FISSE AVENTI CARATTERE DI CERTEZZA E STABILITÀ</w:t>
            </w:r>
          </w:p>
        </w:tc>
        <w:tc>
          <w:tcPr>
            <w:tcW w:w="1798" w:type="dxa"/>
            <w:tcBorders>
              <w:top w:val="single" w:sz="8" w:space="0" w:color="000000"/>
              <w:left w:val="single" w:sz="8" w:space="0" w:color="000000"/>
              <w:bottom w:val="single" w:sz="8" w:space="0" w:color="000000"/>
              <w:right w:val="single" w:sz="4"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17.610,80</w:t>
            </w:r>
          </w:p>
        </w:tc>
      </w:tr>
    </w:tbl>
    <w:p w:rsidR="003620F3" w:rsidRDefault="003620F3">
      <w:pPr>
        <w:pStyle w:val="tabella"/>
        <w:suppressAutoHyphens w:val="0"/>
        <w:ind w:left="1080"/>
        <w:rPr>
          <w:rFonts w:ascii="Calibri" w:hAnsi="Calibri"/>
          <w:sz w:val="22"/>
          <w:szCs w:val="22"/>
        </w:rPr>
      </w:pPr>
    </w:p>
    <w:p w:rsidR="003620F3" w:rsidRDefault="003620F3">
      <w:pPr>
        <w:pStyle w:val="tabella"/>
        <w:suppressAutoHyphens w:val="0"/>
        <w:ind w:left="1080"/>
        <w:rPr>
          <w:rFonts w:ascii="Calibri" w:hAnsi="Calibri"/>
          <w:sz w:val="22"/>
          <w:szCs w:val="22"/>
        </w:rPr>
      </w:pPr>
    </w:p>
    <w:p w:rsidR="003620F3" w:rsidRDefault="002734FA">
      <w:pPr>
        <w:pStyle w:val="tabella"/>
        <w:suppressAutoHyphens w:val="0"/>
        <w:ind w:left="1080"/>
      </w:pPr>
      <w:r>
        <w:rPr>
          <w:rFonts w:ascii="Calibri" w:hAnsi="Calibri"/>
          <w:sz w:val="22"/>
          <w:szCs w:val="22"/>
        </w:rPr>
        <w:t xml:space="preserve">**La dichiarazione congiunta n. 14 del CCNL 22/01/2004 (biennio economico 2004/2005) e n. 4 del </w:t>
      </w:r>
      <w:r>
        <w:rPr>
          <w:rFonts w:ascii="Calibri" w:hAnsi="Calibri"/>
          <w:sz w:val="22"/>
          <w:szCs w:val="22"/>
        </w:rPr>
        <w:t xml:space="preserve">CCNL 9/5/2006 e n. 1 del CCNL 31/07/2009 prevedono per l’anno 2004, 2006 e 2009 che: </w:t>
      </w:r>
      <w:r>
        <w:rPr>
          <w:rFonts w:ascii="Calibri" w:hAnsi="Calibri"/>
          <w:sz w:val="22"/>
          <w:szCs w:val="22"/>
        </w:rPr>
        <w:lastRenderedPageBreak/>
        <w:t>“…l’importo stipendiale riconosciuto a favore del personale dipendente collocato nelle singole posizioni di sviluppo del sistema di classificazione, per la misura più elev</w:t>
      </w:r>
      <w:r>
        <w:rPr>
          <w:rFonts w:ascii="Calibri" w:hAnsi="Calibri"/>
          <w:sz w:val="22"/>
          <w:szCs w:val="22"/>
        </w:rPr>
        <w:t>ata rispetto all’importo attribuito dal presente CCNL al personale nelle posizioni iniziali (A1, B1, C1, D1) o di accesso dall’esterno (B3, D3) è finanziato con le risorse nazionali del CCNL medesimo e, quindi, anch’esso a carico del bilancio dell’Ente”. L</w:t>
      </w:r>
      <w:r>
        <w:rPr>
          <w:rFonts w:ascii="Calibri" w:hAnsi="Calibri"/>
          <w:sz w:val="22"/>
          <w:szCs w:val="22"/>
        </w:rPr>
        <w:t>’Ufficio Ragioneria ha predisposto l’importo di cui sopra che dovrà essere finanziato con risorse di bilancio, non dovendo intaccare il fondo produttività (oltre alle cifre provenienti dagli aumenti del CCNL precedenti).  Analogamente, i CCNL 2006, 2008 pr</w:t>
      </w:r>
      <w:r>
        <w:rPr>
          <w:rFonts w:ascii="Calibri" w:hAnsi="Calibri"/>
          <w:sz w:val="22"/>
          <w:szCs w:val="22"/>
        </w:rPr>
        <w:t>evedevano tale disposizione. Si tenga presente che le istruzioni per la compilazione del conto annuale del personale, relative al monitoraggio del contratto integrativo decentrato, prevedono, tra le voci di entrata, un rigo apposito che evidenzia tale impo</w:t>
      </w:r>
      <w:r>
        <w:rPr>
          <w:rFonts w:ascii="Calibri" w:hAnsi="Calibri"/>
          <w:sz w:val="22"/>
          <w:szCs w:val="22"/>
        </w:rPr>
        <w:t>rto, necessario alla copertura della quota rideterminata delle progressioni economiche orizzontali, conseguenti ai benefici economici previsti dai CCNL. Tale importo dovrà essere inserito per il pareggio con la parte uscita, considerato che la voce di util</w:t>
      </w:r>
      <w:r>
        <w:rPr>
          <w:rFonts w:ascii="Calibri" w:hAnsi="Calibri"/>
          <w:sz w:val="22"/>
          <w:szCs w:val="22"/>
        </w:rPr>
        <w:t xml:space="preserve">izzo per le c.d. “progressioni” deve essere decurtata nell’importo complessivo. Si consideri altresì che la voce “progressioni”, pur essendo finanziata dal fondo risorse decentrate, deve essere immediatamente erogata nella busta paga, costituendo una voce </w:t>
      </w:r>
      <w:r>
        <w:rPr>
          <w:rFonts w:ascii="Calibri" w:hAnsi="Calibri"/>
          <w:sz w:val="22"/>
          <w:szCs w:val="22"/>
        </w:rPr>
        <w:t>“fissa” dello stipendio del dipendente, per quanto separatamente rilevata. Risulta pertanto estremamente laborioso procedere alla suddivisione contabile di tali importi. Pertanto le soluzioni possono essere le seguenti:</w:t>
      </w:r>
    </w:p>
    <w:p w:rsidR="003620F3" w:rsidRDefault="002734FA">
      <w:pPr>
        <w:pStyle w:val="tabella"/>
        <w:suppressAutoHyphens w:val="0"/>
        <w:ind w:left="1080"/>
      </w:pPr>
      <w:r>
        <w:rPr>
          <w:rFonts w:ascii="Calibri" w:hAnsi="Calibri"/>
          <w:sz w:val="22"/>
          <w:szCs w:val="22"/>
        </w:rPr>
        <w:t>1) Separare contabilmente gli import</w:t>
      </w:r>
      <w:r>
        <w:rPr>
          <w:rFonts w:ascii="Calibri" w:hAnsi="Calibri"/>
          <w:sz w:val="22"/>
          <w:szCs w:val="22"/>
        </w:rPr>
        <w:t>i nella quota per progressioni a carico del bilancio e a carico del fondo; far transitare dal fondo la sola quota a carico dello stesso, procedendo al ricalcalo, a consuntivo, delle quote effettivamente erogate.</w:t>
      </w:r>
    </w:p>
    <w:p w:rsidR="003620F3" w:rsidRDefault="002734FA">
      <w:pPr>
        <w:pStyle w:val="tabella"/>
        <w:suppressAutoHyphens w:val="0"/>
        <w:ind w:left="1080"/>
      </w:pPr>
      <w:r>
        <w:rPr>
          <w:rFonts w:ascii="Calibri" w:hAnsi="Calibri"/>
          <w:sz w:val="22"/>
          <w:szCs w:val="22"/>
        </w:rPr>
        <w:t>2) Far transitare dal fondo, nella parte ent</w:t>
      </w:r>
      <w:r>
        <w:rPr>
          <w:rFonts w:ascii="Calibri" w:hAnsi="Calibri"/>
          <w:sz w:val="22"/>
          <w:szCs w:val="22"/>
        </w:rPr>
        <w:t>rata la differenza calcolata per tale voce e procedere, in uscita, alla  decurtazione della somma totale (a carico del fondo e a carico del bilancio).</w:t>
      </w:r>
    </w:p>
    <w:p w:rsidR="003620F3" w:rsidRDefault="002734FA">
      <w:pPr>
        <w:pStyle w:val="tabella"/>
        <w:suppressAutoHyphens w:val="0"/>
        <w:ind w:left="1080"/>
        <w:rPr>
          <w:rFonts w:ascii="Calibri" w:hAnsi="Calibri"/>
          <w:sz w:val="22"/>
          <w:szCs w:val="22"/>
        </w:rPr>
      </w:pPr>
      <w:r>
        <w:rPr>
          <w:rFonts w:ascii="Calibri" w:hAnsi="Calibri"/>
          <w:sz w:val="22"/>
          <w:szCs w:val="22"/>
        </w:rPr>
        <w:t>Si ritiene che la soluzione prospettata al punto 1) risulti estremamente laboriosa mentre la soluzione di</w:t>
      </w:r>
      <w:r>
        <w:rPr>
          <w:rFonts w:ascii="Calibri" w:hAnsi="Calibri"/>
          <w:sz w:val="22"/>
          <w:szCs w:val="22"/>
        </w:rPr>
        <w:t xml:space="preserve"> cui al punto 2) mostri una maggiore coerenza contabile, in quanto permette di evidenziare e di avere sempre a disposizione il dato che dovrà successivamente essere indicato nel Conto annuale. Tale metodo è stato scelto fin da principio in questo Ente e ne</w:t>
      </w:r>
      <w:r>
        <w:rPr>
          <w:rFonts w:ascii="Calibri" w:hAnsi="Calibri"/>
          <w:sz w:val="22"/>
          <w:szCs w:val="22"/>
        </w:rPr>
        <w:t xml:space="preserve"> viene lasciata traccia nel prospetto di costituzione del fondo alle voci “Dichiarazione congiunta.(incremento valore per nuovo importo progressioni)”, in corrispondenza degli incrementi di ogni CCNL.</w:t>
      </w:r>
    </w:p>
    <w:p w:rsidR="003620F3" w:rsidRDefault="003620F3">
      <w:pPr>
        <w:pStyle w:val="tabella"/>
        <w:suppressAutoHyphens w:val="0"/>
        <w:ind w:left="1080"/>
        <w:rPr>
          <w:rFonts w:ascii="Calibri" w:hAnsi="Calibri"/>
          <w:sz w:val="22"/>
          <w:szCs w:val="22"/>
        </w:rPr>
      </w:pPr>
    </w:p>
    <w:p w:rsidR="003620F3" w:rsidRDefault="003620F3">
      <w:pPr>
        <w:pStyle w:val="Standard"/>
        <w:rPr>
          <w:szCs w:val="22"/>
        </w:rPr>
      </w:pPr>
    </w:p>
    <w:p w:rsidR="003620F3" w:rsidRDefault="002734FA">
      <w:pPr>
        <w:pStyle w:val="Titolo3"/>
      </w:pPr>
      <w:r>
        <w:t>Sezione II - Risorse variabili</w:t>
      </w:r>
    </w:p>
    <w:p w:rsidR="003620F3" w:rsidRDefault="002734FA">
      <w:pPr>
        <w:pStyle w:val="Standard"/>
        <w:rPr>
          <w:rFonts w:cs="Times-Roman"/>
          <w:szCs w:val="22"/>
        </w:rPr>
      </w:pPr>
      <w:r>
        <w:rPr>
          <w:rFonts w:cs="Times-Roman"/>
          <w:szCs w:val="22"/>
        </w:rPr>
        <w:t xml:space="preserve">Quali voci variabili </w:t>
      </w:r>
      <w:r>
        <w:rPr>
          <w:rFonts w:cs="Times-Roman"/>
          <w:szCs w:val="22"/>
        </w:rPr>
        <w:t>di cui all’art. 31 comma 3 CCNL 22.1.2004 sono state stanziate:</w:t>
      </w:r>
    </w:p>
    <w:tbl>
      <w:tblPr>
        <w:tblW w:w="8138" w:type="dxa"/>
        <w:tblInd w:w="1206" w:type="dxa"/>
        <w:tblLayout w:type="fixed"/>
        <w:tblCellMar>
          <w:left w:w="10" w:type="dxa"/>
          <w:right w:w="10" w:type="dxa"/>
        </w:tblCellMar>
        <w:tblLook w:val="04A0" w:firstRow="1" w:lastRow="0" w:firstColumn="1" w:lastColumn="0" w:noHBand="0" w:noVBand="1"/>
      </w:tblPr>
      <w:tblGrid>
        <w:gridCol w:w="5820"/>
        <w:gridCol w:w="2318"/>
      </w:tblGrid>
      <w:tr w:rsidR="003620F3">
        <w:tblPrEx>
          <w:tblCellMar>
            <w:top w:w="0" w:type="dxa"/>
            <w:bottom w:w="0" w:type="dxa"/>
          </w:tblCellMar>
        </w:tblPrEx>
        <w:trPr>
          <w:trHeight w:val="675"/>
        </w:trPr>
        <w:tc>
          <w:tcPr>
            <w:tcW w:w="8138" w:type="dxa"/>
            <w:gridSpan w:val="2"/>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ascii="Tahoma" w:hAnsi="Tahoma" w:cs="Tahoma"/>
                <w:b/>
                <w:bCs/>
                <w:sz w:val="24"/>
                <w:szCs w:val="22"/>
              </w:rPr>
            </w:pPr>
            <w:r>
              <w:rPr>
                <w:rFonts w:ascii="Tahoma" w:hAnsi="Tahoma" w:cs="Tahoma"/>
                <w:b/>
                <w:bCs/>
                <w:sz w:val="24"/>
                <w:szCs w:val="22"/>
              </w:rPr>
              <w:t>RISORSE VARIABILI</w:t>
            </w:r>
          </w:p>
        </w:tc>
      </w:tr>
      <w:tr w:rsidR="003620F3">
        <w:tblPrEx>
          <w:tblCellMar>
            <w:top w:w="0" w:type="dxa"/>
            <w:bottom w:w="0" w:type="dxa"/>
          </w:tblCellMar>
        </w:tblPrEx>
        <w:trPr>
          <w:trHeight w:val="510"/>
        </w:trPr>
        <w:tc>
          <w:tcPr>
            <w:tcW w:w="8138" w:type="dxa"/>
            <w:gridSpan w:val="2"/>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Risorse variabili sottoposte al limite</w:t>
            </w:r>
          </w:p>
        </w:tc>
      </w:tr>
      <w:tr w:rsidR="003620F3">
        <w:tblPrEx>
          <w:tblCellMar>
            <w:top w:w="0" w:type="dxa"/>
            <w:bottom w:w="0" w:type="dxa"/>
          </w:tblCellMar>
        </w:tblPrEx>
        <w:trPr>
          <w:trHeight w:val="495"/>
        </w:trPr>
        <w:tc>
          <w:tcPr>
            <w:tcW w:w="5820"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rPr>
                <w:rFonts w:cs="Tahoma"/>
                <w:szCs w:val="22"/>
              </w:rPr>
            </w:pPr>
            <w:r>
              <w:rPr>
                <w:rFonts w:cs="Tahoma"/>
                <w:szCs w:val="22"/>
              </w:rPr>
              <w:t>Art. 15 c. 1 Lettera k) CCNL 1.4.1999 -  Legge Regionale  specifica (es. SARDEGNA n. 19 del 1997)</w:t>
            </w:r>
          </w:p>
        </w:tc>
        <w:tc>
          <w:tcPr>
            <w:tcW w:w="2318" w:type="dxa"/>
            <w:tcBorders>
              <w:left w:val="single" w:sz="8" w:space="0" w:color="000000"/>
              <w:right w:val="single" w:sz="4"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1.062,77</w:t>
            </w:r>
          </w:p>
        </w:tc>
      </w:tr>
      <w:tr w:rsidR="003620F3">
        <w:tblPrEx>
          <w:tblCellMar>
            <w:top w:w="0" w:type="dxa"/>
            <w:bottom w:w="0" w:type="dxa"/>
          </w:tblCellMar>
        </w:tblPrEx>
        <w:trPr>
          <w:trHeight w:val="270"/>
        </w:trPr>
        <w:tc>
          <w:tcPr>
            <w:tcW w:w="5820"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 xml:space="preserve">TOTALE VOCI VARIABILI  </w:t>
            </w:r>
            <w:r>
              <w:rPr>
                <w:rFonts w:cs="Tahoma"/>
                <w:b/>
                <w:bCs/>
                <w:szCs w:val="22"/>
              </w:rPr>
              <w:t>sottoposte al limite</w:t>
            </w:r>
          </w:p>
        </w:tc>
        <w:tc>
          <w:tcPr>
            <w:tcW w:w="2318"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1.062,77</w:t>
            </w:r>
          </w:p>
        </w:tc>
      </w:tr>
      <w:tr w:rsidR="003620F3">
        <w:tblPrEx>
          <w:tblCellMar>
            <w:top w:w="0" w:type="dxa"/>
            <w:bottom w:w="0" w:type="dxa"/>
          </w:tblCellMar>
        </w:tblPrEx>
        <w:trPr>
          <w:trHeight w:val="574"/>
        </w:trPr>
        <w:tc>
          <w:tcPr>
            <w:tcW w:w="8138" w:type="dxa"/>
            <w:gridSpan w:val="2"/>
            <w:tcBorders>
              <w:left w:val="single" w:sz="8" w:space="0" w:color="000000"/>
              <w:bottom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Risorse variabili NON sottoposte al limite</w:t>
            </w:r>
          </w:p>
        </w:tc>
      </w:tr>
      <w:tr w:rsidR="003620F3">
        <w:tblPrEx>
          <w:tblCellMar>
            <w:top w:w="0" w:type="dxa"/>
            <w:bottom w:w="0" w:type="dxa"/>
          </w:tblCellMar>
        </w:tblPrEx>
        <w:trPr>
          <w:trHeight w:val="645"/>
        </w:trPr>
        <w:tc>
          <w:tcPr>
            <w:tcW w:w="5820"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pPr>
            <w:r>
              <w:rPr>
                <w:rFonts w:cs="Tahoma"/>
                <w:b/>
                <w:bCs/>
                <w:szCs w:val="22"/>
                <w:lang w:val="en-US"/>
              </w:rPr>
              <w:t xml:space="preserve">Art. 15 c. 1 Lettera k) CCNL 1.4.1999 - </w:t>
            </w:r>
            <w:r>
              <w:rPr>
                <w:rFonts w:cs="Tahoma"/>
                <w:szCs w:val="22"/>
                <w:lang w:val="en-GB"/>
              </w:rPr>
              <w:t>Art. 18 legge 109/1994 e s.m.i. (D.Lgs. 163/2006 art. 92)</w:t>
            </w:r>
          </w:p>
        </w:tc>
        <w:tc>
          <w:tcPr>
            <w:tcW w:w="2318"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10.000,00</w:t>
            </w:r>
          </w:p>
        </w:tc>
      </w:tr>
      <w:tr w:rsidR="003620F3">
        <w:tblPrEx>
          <w:tblCellMar>
            <w:top w:w="0" w:type="dxa"/>
            <w:bottom w:w="0" w:type="dxa"/>
          </w:tblCellMar>
        </w:tblPrEx>
        <w:trPr>
          <w:trHeight w:val="401"/>
        </w:trPr>
        <w:tc>
          <w:tcPr>
            <w:tcW w:w="5820"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left"/>
              <w:rPr>
                <w:rFonts w:cs="Arial"/>
                <w:szCs w:val="22"/>
              </w:rPr>
            </w:pPr>
            <w:r>
              <w:rPr>
                <w:rFonts w:cs="Arial"/>
                <w:szCs w:val="22"/>
              </w:rPr>
              <w:t>Risp. Fondo Anno Precedente – quota anno 2011*</w:t>
            </w:r>
          </w:p>
        </w:tc>
        <w:tc>
          <w:tcPr>
            <w:tcW w:w="231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Arial"/>
                <w:b/>
                <w:bCs/>
                <w:szCs w:val="22"/>
              </w:rPr>
            </w:pPr>
            <w:r>
              <w:rPr>
                <w:rFonts w:cs="Arial"/>
                <w:b/>
                <w:bCs/>
                <w:szCs w:val="22"/>
              </w:rPr>
              <w:t>5.830,07</w:t>
            </w:r>
          </w:p>
        </w:tc>
      </w:tr>
      <w:tr w:rsidR="003620F3">
        <w:tblPrEx>
          <w:tblCellMar>
            <w:top w:w="0" w:type="dxa"/>
            <w:bottom w:w="0" w:type="dxa"/>
          </w:tblCellMar>
        </w:tblPrEx>
        <w:trPr>
          <w:trHeight w:val="510"/>
        </w:trPr>
        <w:tc>
          <w:tcPr>
            <w:tcW w:w="5820"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3620F3" w:rsidRDefault="002734FA">
            <w:pPr>
              <w:pStyle w:val="Standard"/>
              <w:snapToGrid w:val="0"/>
              <w:spacing w:after="0"/>
              <w:ind w:firstLine="0"/>
              <w:jc w:val="left"/>
              <w:rPr>
                <w:rFonts w:cs="Arial"/>
                <w:szCs w:val="22"/>
              </w:rPr>
            </w:pPr>
            <w:r>
              <w:rPr>
                <w:rFonts w:cs="Arial"/>
                <w:szCs w:val="22"/>
              </w:rPr>
              <w:t xml:space="preserve">Risp. </w:t>
            </w:r>
            <w:r>
              <w:rPr>
                <w:rFonts w:cs="Arial"/>
                <w:szCs w:val="22"/>
              </w:rPr>
              <w:t>Straordinario Anno Precedente</w:t>
            </w:r>
          </w:p>
        </w:tc>
        <w:tc>
          <w:tcPr>
            <w:tcW w:w="2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Arial"/>
                <w:b/>
                <w:bCs/>
                <w:szCs w:val="22"/>
              </w:rPr>
            </w:pPr>
            <w:r>
              <w:rPr>
                <w:rFonts w:cs="Arial"/>
                <w:b/>
                <w:bCs/>
                <w:szCs w:val="22"/>
              </w:rPr>
              <w:t>1.252,41</w:t>
            </w:r>
          </w:p>
        </w:tc>
      </w:tr>
      <w:tr w:rsidR="003620F3">
        <w:tblPrEx>
          <w:tblCellMar>
            <w:top w:w="0" w:type="dxa"/>
            <w:bottom w:w="0" w:type="dxa"/>
          </w:tblCellMar>
        </w:tblPrEx>
        <w:trPr>
          <w:trHeight w:val="780"/>
        </w:trPr>
        <w:tc>
          <w:tcPr>
            <w:tcW w:w="5820"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b/>
                <w:bCs/>
                <w:szCs w:val="22"/>
              </w:rPr>
            </w:pPr>
            <w:r>
              <w:rPr>
                <w:rFonts w:cs="Tahoma"/>
                <w:b/>
                <w:bCs/>
                <w:szCs w:val="22"/>
              </w:rPr>
              <w:lastRenderedPageBreak/>
              <w:t>TOTALE VOCI VARIABILI  NON sottoposte al limite</w:t>
            </w:r>
          </w:p>
        </w:tc>
        <w:tc>
          <w:tcPr>
            <w:tcW w:w="2318"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17.082,48</w:t>
            </w:r>
          </w:p>
        </w:tc>
      </w:tr>
      <w:tr w:rsidR="003620F3">
        <w:tblPrEx>
          <w:tblCellMar>
            <w:top w:w="0" w:type="dxa"/>
            <w:bottom w:w="0" w:type="dxa"/>
          </w:tblCellMar>
        </w:tblPrEx>
        <w:trPr>
          <w:trHeight w:val="780"/>
        </w:trPr>
        <w:tc>
          <w:tcPr>
            <w:tcW w:w="5820" w:type="dxa"/>
            <w:tcBorders>
              <w:left w:val="single" w:sz="8" w:space="0" w:color="000000"/>
              <w:bottom w:val="single" w:sz="8" w:space="0" w:color="000000"/>
            </w:tcBorders>
            <w:shd w:val="clear" w:color="auto" w:fill="CCFFFF"/>
            <w:tcMar>
              <w:top w:w="0" w:type="dxa"/>
              <w:left w:w="70" w:type="dxa"/>
              <w:bottom w:w="0" w:type="dxa"/>
              <w:right w:w="70" w:type="dxa"/>
            </w:tcMar>
          </w:tcPr>
          <w:p w:rsidR="003620F3" w:rsidRDefault="003620F3">
            <w:pPr>
              <w:pStyle w:val="Standard"/>
              <w:snapToGrid w:val="0"/>
              <w:spacing w:after="0"/>
              <w:ind w:left="-737" w:firstLine="0"/>
              <w:jc w:val="center"/>
              <w:rPr>
                <w:rFonts w:cs="Tahoma"/>
                <w:b/>
                <w:bCs/>
                <w:sz w:val="26"/>
                <w:szCs w:val="26"/>
              </w:rPr>
            </w:pPr>
          </w:p>
          <w:p w:rsidR="003620F3" w:rsidRDefault="002734FA">
            <w:pPr>
              <w:pStyle w:val="Standard"/>
              <w:snapToGrid w:val="0"/>
              <w:spacing w:after="0"/>
              <w:ind w:left="-737" w:firstLine="0"/>
              <w:jc w:val="center"/>
              <w:rPr>
                <w:rFonts w:cs="Tahoma"/>
                <w:b/>
                <w:bCs/>
                <w:sz w:val="26"/>
                <w:szCs w:val="26"/>
              </w:rPr>
            </w:pPr>
            <w:r>
              <w:rPr>
                <w:rFonts w:cs="Tahoma"/>
                <w:b/>
                <w:bCs/>
                <w:sz w:val="26"/>
                <w:szCs w:val="26"/>
              </w:rPr>
              <w:t>TOTALE RISORSE VARIABILI</w:t>
            </w:r>
          </w:p>
        </w:tc>
        <w:tc>
          <w:tcPr>
            <w:tcW w:w="2318" w:type="dxa"/>
            <w:tcBorders>
              <w:left w:val="single" w:sz="8" w:space="0" w:color="000000"/>
              <w:bottom w:val="single" w:sz="8" w:space="0" w:color="000000"/>
              <w:right w:val="single" w:sz="4"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18.145,25</w:t>
            </w:r>
          </w:p>
        </w:tc>
      </w:tr>
    </w:tbl>
    <w:p w:rsidR="003620F3" w:rsidRDefault="003620F3">
      <w:pPr>
        <w:pStyle w:val="Standard"/>
        <w:jc w:val="center"/>
        <w:rPr>
          <w:szCs w:val="22"/>
        </w:rPr>
      </w:pPr>
    </w:p>
    <w:p w:rsidR="003620F3" w:rsidRDefault="002734FA">
      <w:pPr>
        <w:pStyle w:val="Standard"/>
      </w:pPr>
      <w:r>
        <w:rPr>
          <w:szCs w:val="22"/>
        </w:rPr>
        <w:t xml:space="preserve">* in attuazione del Piano di ripartizione approvato con </w:t>
      </w:r>
      <w:r>
        <w:rPr>
          <w:rFonts w:cs="Garamond"/>
          <w:sz w:val="24"/>
          <w:lang w:eastAsia="it-IT"/>
        </w:rPr>
        <w:t xml:space="preserve"> Del. GC. n. 21 del 16/06/2016 che prevede la distribuzione </w:t>
      </w:r>
      <w:r>
        <w:rPr>
          <w:rFonts w:cs="Garamond"/>
          <w:sz w:val="24"/>
          <w:lang w:eastAsia="it-IT"/>
        </w:rPr>
        <w:t>delle economie a partire dall’annualità 2016, in aggiunta alla quota di competenza del Fondo di ciascun anno, vincolandole all'incentivazione di particolari obiettivi sfidanti e innovativi, che abbiano le stesse caratteristiche e requisiti richiesti per gl</w:t>
      </w:r>
      <w:r>
        <w:rPr>
          <w:rFonts w:cs="Garamond"/>
          <w:sz w:val="24"/>
          <w:lang w:eastAsia="it-IT"/>
        </w:rPr>
        <w:t>i obiettivi specifici o nuovi servizi di cui all’art. 15 c. 5 CCNL 1.4.1999;</w:t>
      </w:r>
    </w:p>
    <w:p w:rsidR="003620F3" w:rsidRDefault="003620F3">
      <w:pPr>
        <w:pStyle w:val="Standard"/>
        <w:jc w:val="center"/>
        <w:rPr>
          <w:rFonts w:ascii="Times New Roman" w:hAnsi="Times New Roman" w:cs="Garamond"/>
          <w:sz w:val="24"/>
          <w:lang w:eastAsia="it-IT"/>
        </w:rPr>
      </w:pPr>
    </w:p>
    <w:p w:rsidR="003620F3" w:rsidRDefault="003620F3">
      <w:pPr>
        <w:pStyle w:val="Standard"/>
        <w:jc w:val="center"/>
        <w:rPr>
          <w:szCs w:val="22"/>
        </w:rPr>
      </w:pPr>
    </w:p>
    <w:p w:rsidR="003620F3" w:rsidRDefault="002734FA">
      <w:pPr>
        <w:pStyle w:val="Titolo3"/>
      </w:pPr>
      <w:r>
        <w:t>Sezione III - (eventuali) Decurtazioni del Fondo</w:t>
      </w:r>
    </w:p>
    <w:tbl>
      <w:tblPr>
        <w:tblW w:w="8713" w:type="dxa"/>
        <w:tblInd w:w="621" w:type="dxa"/>
        <w:tblLayout w:type="fixed"/>
        <w:tblCellMar>
          <w:left w:w="10" w:type="dxa"/>
          <w:right w:w="10" w:type="dxa"/>
        </w:tblCellMar>
        <w:tblLook w:val="04A0" w:firstRow="1" w:lastRow="0" w:firstColumn="1" w:lastColumn="0" w:noHBand="0" w:noVBand="1"/>
      </w:tblPr>
      <w:tblGrid>
        <w:gridCol w:w="5955"/>
        <w:gridCol w:w="2758"/>
      </w:tblGrid>
      <w:tr w:rsidR="003620F3">
        <w:tblPrEx>
          <w:tblCellMar>
            <w:top w:w="0" w:type="dxa"/>
            <w:bottom w:w="0" w:type="dxa"/>
          </w:tblCellMar>
        </w:tblPrEx>
        <w:trPr>
          <w:trHeight w:val="990"/>
        </w:trPr>
        <w:tc>
          <w:tcPr>
            <w:tcW w:w="8713" w:type="dxa"/>
            <w:gridSpan w:val="2"/>
            <w:tcBorders>
              <w:top w:val="single" w:sz="8" w:space="0" w:color="000000"/>
              <w:left w:val="single" w:sz="8" w:space="0" w:color="000000"/>
              <w:bottom w:val="single" w:sz="8" w:space="0" w:color="000000"/>
              <w:right w:val="single" w:sz="4"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 w:val="28"/>
                <w:szCs w:val="28"/>
              </w:rPr>
            </w:pPr>
            <w:r>
              <w:rPr>
                <w:rFonts w:cs="Tahoma"/>
                <w:b/>
                <w:bCs/>
                <w:sz w:val="28"/>
                <w:szCs w:val="28"/>
              </w:rPr>
              <w:t>DECURTAZIONI SULLE RISORSE AVENTI CARATTERE DI CERTEZZA E STABILITA’ (a detrarre)</w:t>
            </w:r>
          </w:p>
        </w:tc>
      </w:tr>
      <w:tr w:rsidR="003620F3">
        <w:tblPrEx>
          <w:tblCellMar>
            <w:top w:w="0" w:type="dxa"/>
            <w:bottom w:w="0" w:type="dxa"/>
          </w:tblCellMar>
        </w:tblPrEx>
        <w:trPr>
          <w:trHeight w:val="480"/>
        </w:trPr>
        <w:tc>
          <w:tcPr>
            <w:tcW w:w="5955"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3620F3" w:rsidRDefault="002734FA">
            <w:pPr>
              <w:pStyle w:val="Standard"/>
              <w:tabs>
                <w:tab w:val="left" w:pos="5550"/>
              </w:tabs>
              <w:snapToGrid w:val="0"/>
              <w:spacing w:after="0"/>
              <w:ind w:firstLine="0"/>
              <w:rPr>
                <w:rFonts w:cs="Tahoma"/>
                <w:szCs w:val="22"/>
              </w:rPr>
            </w:pPr>
            <w:r>
              <w:rPr>
                <w:rFonts w:cs="Tahoma"/>
                <w:szCs w:val="22"/>
              </w:rPr>
              <w:t>Decurtazione ATA</w:t>
            </w:r>
          </w:p>
        </w:tc>
        <w:tc>
          <w:tcPr>
            <w:tcW w:w="2758" w:type="dxa"/>
            <w:tcBorders>
              <w:top w:val="single" w:sz="8" w:space="0" w:color="000000"/>
              <w:left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1.068,68</w:t>
            </w:r>
          </w:p>
        </w:tc>
      </w:tr>
      <w:tr w:rsidR="003620F3">
        <w:tblPrEx>
          <w:tblCellMar>
            <w:top w:w="0" w:type="dxa"/>
            <w:bottom w:w="0" w:type="dxa"/>
          </w:tblCellMar>
        </w:tblPrEx>
        <w:trPr>
          <w:trHeight w:val="570"/>
        </w:trPr>
        <w:tc>
          <w:tcPr>
            <w:tcW w:w="5955"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rPr>
                <w:rFonts w:cs="Tahoma"/>
                <w:szCs w:val="22"/>
              </w:rPr>
            </w:pPr>
            <w:r>
              <w:rPr>
                <w:rFonts w:cs="Tahoma"/>
                <w:szCs w:val="22"/>
              </w:rPr>
              <w:t>Decurtazione nuovi</w:t>
            </w:r>
            <w:r>
              <w:rPr>
                <w:rFonts w:cs="Tahoma"/>
                <w:szCs w:val="22"/>
              </w:rPr>
              <w:t xml:space="preserve"> incarichi di Posizione Organizzativa.  </w:t>
            </w:r>
          </w:p>
        </w:tc>
        <w:tc>
          <w:tcPr>
            <w:tcW w:w="2758" w:type="dxa"/>
            <w:tcBorders>
              <w:top w:val="single" w:sz="8" w:space="0" w:color="000000"/>
              <w:left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1.263,25</w:t>
            </w:r>
          </w:p>
        </w:tc>
      </w:tr>
      <w:tr w:rsidR="003620F3">
        <w:tblPrEx>
          <w:tblCellMar>
            <w:top w:w="0" w:type="dxa"/>
            <w:bottom w:w="0" w:type="dxa"/>
          </w:tblCellMar>
        </w:tblPrEx>
        <w:trPr>
          <w:trHeight w:val="990"/>
        </w:trPr>
        <w:tc>
          <w:tcPr>
            <w:tcW w:w="5955"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rPr>
                <w:rFonts w:cs="Tahoma"/>
                <w:szCs w:val="22"/>
              </w:rPr>
            </w:pPr>
            <w:r>
              <w:rPr>
                <w:rFonts w:cs="Tahoma"/>
                <w:szCs w:val="22"/>
              </w:rPr>
              <w:t>Articolo 19, comma 1  CCNL 1.4.1999</w:t>
            </w:r>
            <w:r>
              <w:rPr>
                <w:rFonts w:cs="Tahoma"/>
                <w:szCs w:val="22"/>
              </w:rPr>
              <w:br/>
            </w:r>
            <w:r>
              <w:rPr>
                <w:rFonts w:cs="Tahoma"/>
                <w:szCs w:val="22"/>
              </w:rPr>
              <w:t xml:space="preserve">DECURTAZIONE primo inquadramento di alcune categorie di lavoratori in applicazione del CCNL del 31.3.1999 (area di vigilanza e personale della prima e seconda qualifica </w:t>
            </w:r>
            <w:r>
              <w:rPr>
                <w:rFonts w:cs="Tahoma"/>
                <w:szCs w:val="22"/>
              </w:rPr>
              <w:t>funzionale).</w:t>
            </w:r>
          </w:p>
        </w:tc>
        <w:tc>
          <w:tcPr>
            <w:tcW w:w="2758" w:type="dxa"/>
            <w:tcBorders>
              <w:top w:val="single" w:sz="8" w:space="0" w:color="000000"/>
              <w:left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center"/>
              <w:rPr>
                <w:rFonts w:cs="Tahoma"/>
                <w:szCs w:val="22"/>
              </w:rPr>
            </w:pPr>
            <w:r>
              <w:rPr>
                <w:rFonts w:cs="Tahoma"/>
                <w:szCs w:val="22"/>
              </w:rPr>
              <w:t>68,17</w:t>
            </w:r>
          </w:p>
        </w:tc>
      </w:tr>
      <w:tr w:rsidR="003620F3">
        <w:tblPrEx>
          <w:tblCellMar>
            <w:top w:w="0" w:type="dxa"/>
            <w:bottom w:w="0" w:type="dxa"/>
          </w:tblCellMar>
        </w:tblPrEx>
        <w:trPr>
          <w:trHeight w:val="780"/>
        </w:trPr>
        <w:tc>
          <w:tcPr>
            <w:tcW w:w="5955"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left"/>
              <w:rPr>
                <w:rFonts w:cs="Tahoma"/>
                <w:szCs w:val="22"/>
              </w:rPr>
            </w:pPr>
            <w:r>
              <w:rPr>
                <w:rFonts w:cs="Tahoma"/>
                <w:szCs w:val="22"/>
              </w:rPr>
              <w:t>Decurtazione parte stabile operate nel periodo 2011/2014 ai sensi dell'art. 9 C. 2 bis L.122/2010 secondo periodo</w:t>
            </w:r>
          </w:p>
        </w:tc>
        <w:tc>
          <w:tcPr>
            <w:tcW w:w="2758" w:type="dxa"/>
            <w:tcBorders>
              <w:top w:val="single" w:sz="8" w:space="0" w:color="000000"/>
              <w:left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lang w:val="en-GB"/>
              </w:rPr>
            </w:pPr>
            <w:r>
              <w:rPr>
                <w:rFonts w:cs="Tahoma"/>
                <w:b/>
                <w:bCs/>
                <w:szCs w:val="22"/>
                <w:lang w:val="en-GB"/>
              </w:rPr>
              <w:t>0,00</w:t>
            </w:r>
          </w:p>
        </w:tc>
      </w:tr>
      <w:tr w:rsidR="003620F3">
        <w:tblPrEx>
          <w:tblCellMar>
            <w:top w:w="0" w:type="dxa"/>
            <w:bottom w:w="0" w:type="dxa"/>
          </w:tblCellMar>
        </w:tblPrEx>
        <w:trPr>
          <w:trHeight w:val="780"/>
        </w:trPr>
        <w:tc>
          <w:tcPr>
            <w:tcW w:w="5955" w:type="dxa"/>
            <w:tcBorders>
              <w:left w:val="single" w:sz="8" w:space="0" w:color="000000"/>
              <w:bottom w:val="single" w:sz="8"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left"/>
              <w:rPr>
                <w:rFonts w:cs="Tahoma"/>
                <w:szCs w:val="22"/>
              </w:rPr>
            </w:pPr>
            <w:r>
              <w:rPr>
                <w:rFonts w:cs="Tahoma"/>
                <w:szCs w:val="22"/>
              </w:rPr>
              <w:t>Decurtazione parte stabile per rispetto limite 2015</w:t>
            </w:r>
          </w:p>
        </w:tc>
        <w:tc>
          <w:tcPr>
            <w:tcW w:w="2758" w:type="dxa"/>
            <w:tcBorders>
              <w:left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lang w:val="en-GB"/>
              </w:rPr>
            </w:pPr>
            <w:r>
              <w:rPr>
                <w:rFonts w:cs="Tahoma"/>
                <w:b/>
                <w:bCs/>
                <w:szCs w:val="22"/>
                <w:lang w:val="en-GB"/>
              </w:rPr>
              <w:t>0,00</w:t>
            </w:r>
          </w:p>
        </w:tc>
      </w:tr>
      <w:tr w:rsidR="003620F3">
        <w:tblPrEx>
          <w:tblCellMar>
            <w:top w:w="0" w:type="dxa"/>
            <w:bottom w:w="0" w:type="dxa"/>
          </w:tblCellMar>
        </w:tblPrEx>
        <w:trPr>
          <w:trHeight w:val="990"/>
        </w:trPr>
        <w:tc>
          <w:tcPr>
            <w:tcW w:w="5955"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 xml:space="preserve">TOTALE DECURTAZIONI AVENTI CARATTERE DI CERTEZZA E </w:t>
            </w:r>
            <w:r>
              <w:rPr>
                <w:rFonts w:cs="Tahoma"/>
                <w:b/>
                <w:bCs/>
                <w:szCs w:val="22"/>
              </w:rPr>
              <w:t>STABILITA’</w:t>
            </w:r>
          </w:p>
        </w:tc>
        <w:tc>
          <w:tcPr>
            <w:tcW w:w="2758" w:type="dxa"/>
            <w:tcBorders>
              <w:top w:val="single" w:sz="8" w:space="0" w:color="000000"/>
              <w:left w:val="single" w:sz="8" w:space="0" w:color="000000"/>
              <w:bottom w:val="single" w:sz="8" w:space="0" w:color="000000"/>
              <w:right w:val="single" w:sz="4"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lang w:val="en-GB"/>
              </w:rPr>
            </w:pPr>
            <w:r>
              <w:rPr>
                <w:rFonts w:cs="Tahoma"/>
                <w:b/>
                <w:bCs/>
                <w:szCs w:val="22"/>
                <w:lang w:val="en-GB"/>
              </w:rPr>
              <w:t>2.400,10</w:t>
            </w:r>
          </w:p>
        </w:tc>
      </w:tr>
    </w:tbl>
    <w:p w:rsidR="003620F3" w:rsidRDefault="003620F3">
      <w:pPr>
        <w:pStyle w:val="Standard"/>
        <w:rPr>
          <w:b/>
          <w:szCs w:val="22"/>
          <w:shd w:val="clear" w:color="auto" w:fill="FFFF00"/>
          <w:lang w:val="en-US"/>
        </w:rPr>
      </w:pPr>
    </w:p>
    <w:tbl>
      <w:tblPr>
        <w:tblW w:w="8670" w:type="dxa"/>
        <w:tblInd w:w="666" w:type="dxa"/>
        <w:tblLayout w:type="fixed"/>
        <w:tblCellMar>
          <w:left w:w="10" w:type="dxa"/>
          <w:right w:w="10" w:type="dxa"/>
        </w:tblCellMar>
        <w:tblLook w:val="04A0" w:firstRow="1" w:lastRow="0" w:firstColumn="1" w:lastColumn="0" w:noHBand="0" w:noVBand="1"/>
      </w:tblPr>
      <w:tblGrid>
        <w:gridCol w:w="5895"/>
        <w:gridCol w:w="2775"/>
      </w:tblGrid>
      <w:tr w:rsidR="003620F3">
        <w:tblPrEx>
          <w:tblCellMar>
            <w:top w:w="0" w:type="dxa"/>
            <w:bottom w:w="0" w:type="dxa"/>
          </w:tblCellMar>
        </w:tblPrEx>
        <w:trPr>
          <w:trHeight w:val="675"/>
        </w:trPr>
        <w:tc>
          <w:tcPr>
            <w:tcW w:w="8670" w:type="dxa"/>
            <w:gridSpan w:val="2"/>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pPr>
            <w:r>
              <w:rPr>
                <w:rFonts w:cs="Tahoma"/>
                <w:b/>
                <w:bCs/>
                <w:sz w:val="28"/>
                <w:szCs w:val="28"/>
              </w:rPr>
              <w:t>DECURTAZIONI RISORSE VARIABILI</w:t>
            </w:r>
          </w:p>
        </w:tc>
      </w:tr>
      <w:tr w:rsidR="003620F3">
        <w:tblPrEx>
          <w:tblCellMar>
            <w:top w:w="0" w:type="dxa"/>
            <w:bottom w:w="0" w:type="dxa"/>
          </w:tblCellMar>
        </w:tblPrEx>
        <w:trPr>
          <w:trHeight w:val="630"/>
        </w:trPr>
        <w:tc>
          <w:tcPr>
            <w:tcW w:w="8670" w:type="dxa"/>
            <w:gridSpan w:val="2"/>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bottom"/>
          </w:tcPr>
          <w:p w:rsidR="003620F3" w:rsidRDefault="002734FA">
            <w:pPr>
              <w:pStyle w:val="Standard"/>
              <w:snapToGrid w:val="0"/>
              <w:spacing w:after="0"/>
              <w:ind w:firstLine="0"/>
              <w:jc w:val="center"/>
              <w:rPr>
                <w:rFonts w:cs="Tahoma"/>
                <w:b/>
                <w:bCs/>
                <w:szCs w:val="22"/>
              </w:rPr>
            </w:pPr>
            <w:r>
              <w:rPr>
                <w:rFonts w:cs="Tahoma"/>
                <w:b/>
                <w:bCs/>
                <w:szCs w:val="22"/>
              </w:rPr>
              <w:t>Risorse variabili sottoposte al limite</w:t>
            </w:r>
          </w:p>
        </w:tc>
      </w:tr>
      <w:tr w:rsidR="003620F3">
        <w:tblPrEx>
          <w:tblCellMar>
            <w:top w:w="0" w:type="dxa"/>
            <w:bottom w:w="0" w:type="dxa"/>
          </w:tblCellMar>
        </w:tblPrEx>
        <w:trPr>
          <w:trHeight w:val="675"/>
        </w:trPr>
        <w:tc>
          <w:tcPr>
            <w:tcW w:w="5895"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Decurtazione parte variabile operate nel periodo 2011/2014 ai sensi dell'art. 9 C. 2 bis L.122/2010 secondo periodo</w:t>
            </w:r>
          </w:p>
        </w:tc>
        <w:tc>
          <w:tcPr>
            <w:tcW w:w="2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0,00</w:t>
            </w:r>
          </w:p>
        </w:tc>
      </w:tr>
      <w:tr w:rsidR="003620F3">
        <w:tblPrEx>
          <w:tblCellMar>
            <w:top w:w="0" w:type="dxa"/>
            <w:bottom w:w="0" w:type="dxa"/>
          </w:tblCellMar>
        </w:tblPrEx>
        <w:trPr>
          <w:trHeight w:val="675"/>
        </w:trPr>
        <w:tc>
          <w:tcPr>
            <w:tcW w:w="5895" w:type="dxa"/>
            <w:tcBorders>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 xml:space="preserve">Decurtazione parte variabile per </w:t>
            </w:r>
            <w:r>
              <w:rPr>
                <w:rFonts w:cs="Tahoma"/>
                <w:szCs w:val="22"/>
              </w:rPr>
              <w:t>rispetto limite 2015</w:t>
            </w:r>
          </w:p>
        </w:tc>
        <w:tc>
          <w:tcPr>
            <w:tcW w:w="277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0,00</w:t>
            </w:r>
          </w:p>
        </w:tc>
      </w:tr>
      <w:tr w:rsidR="003620F3">
        <w:tblPrEx>
          <w:tblCellMar>
            <w:top w:w="0" w:type="dxa"/>
            <w:bottom w:w="0" w:type="dxa"/>
          </w:tblCellMar>
        </w:tblPrEx>
        <w:trPr>
          <w:trHeight w:val="525"/>
        </w:trPr>
        <w:tc>
          <w:tcPr>
            <w:tcW w:w="5895"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lastRenderedPageBreak/>
              <w:t>TOTALE DECURTAZIONI PARTE VARIABILI</w:t>
            </w:r>
          </w:p>
        </w:tc>
        <w:tc>
          <w:tcPr>
            <w:tcW w:w="2775" w:type="dxa"/>
            <w:tcBorders>
              <w:top w:val="single" w:sz="8" w:space="0" w:color="000000"/>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0,00</w:t>
            </w:r>
          </w:p>
        </w:tc>
      </w:tr>
    </w:tbl>
    <w:p w:rsidR="003620F3" w:rsidRDefault="003620F3">
      <w:pPr>
        <w:pStyle w:val="Standard"/>
        <w:rPr>
          <w:szCs w:val="22"/>
          <w:lang w:val="en-GB"/>
        </w:rPr>
      </w:pPr>
    </w:p>
    <w:tbl>
      <w:tblPr>
        <w:tblW w:w="8678" w:type="dxa"/>
        <w:tblInd w:w="666" w:type="dxa"/>
        <w:tblLayout w:type="fixed"/>
        <w:tblCellMar>
          <w:left w:w="10" w:type="dxa"/>
          <w:right w:w="10" w:type="dxa"/>
        </w:tblCellMar>
        <w:tblLook w:val="04A0" w:firstRow="1" w:lastRow="0" w:firstColumn="1" w:lastColumn="0" w:noHBand="0" w:noVBand="1"/>
      </w:tblPr>
      <w:tblGrid>
        <w:gridCol w:w="5895"/>
        <w:gridCol w:w="2783"/>
      </w:tblGrid>
      <w:tr w:rsidR="003620F3">
        <w:tblPrEx>
          <w:tblCellMar>
            <w:top w:w="0" w:type="dxa"/>
            <w:bottom w:w="0" w:type="dxa"/>
          </w:tblCellMar>
        </w:tblPrEx>
        <w:trPr>
          <w:trHeight w:val="525"/>
        </w:trPr>
        <w:tc>
          <w:tcPr>
            <w:tcW w:w="5895" w:type="dxa"/>
            <w:tcBorders>
              <w:top w:val="single" w:sz="8" w:space="0" w:color="000000"/>
              <w:left w:val="single" w:sz="8" w:space="0" w:color="000000"/>
              <w:bottom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left="-1304" w:firstLine="0"/>
              <w:jc w:val="center"/>
              <w:rPr>
                <w:rFonts w:cs="Tahoma"/>
                <w:b/>
                <w:bCs/>
                <w:szCs w:val="22"/>
              </w:rPr>
            </w:pPr>
            <w:r>
              <w:rPr>
                <w:rFonts w:cs="Tahoma"/>
                <w:b/>
                <w:bCs/>
                <w:szCs w:val="22"/>
              </w:rPr>
              <w:t>TOTALE DECURTAZIONI</w:t>
            </w:r>
          </w:p>
        </w:tc>
        <w:tc>
          <w:tcPr>
            <w:tcW w:w="2783" w:type="dxa"/>
            <w:tcBorders>
              <w:top w:val="single" w:sz="8" w:space="0" w:color="000000"/>
              <w:left w:val="single" w:sz="8" w:space="0" w:color="000000"/>
              <w:bottom w:val="single" w:sz="8" w:space="0" w:color="000000"/>
              <w:right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left="-1304" w:firstLine="0"/>
              <w:jc w:val="center"/>
              <w:rPr>
                <w:rFonts w:cs="Tahoma"/>
                <w:b/>
                <w:bCs/>
                <w:szCs w:val="22"/>
                <w:lang w:val="en-GB"/>
              </w:rPr>
            </w:pPr>
            <w:r>
              <w:rPr>
                <w:rFonts w:cs="Tahoma"/>
                <w:b/>
                <w:bCs/>
                <w:szCs w:val="22"/>
                <w:lang w:val="en-GB"/>
              </w:rPr>
              <w:t>2.400,10</w:t>
            </w:r>
          </w:p>
        </w:tc>
      </w:tr>
    </w:tbl>
    <w:p w:rsidR="003620F3" w:rsidRDefault="003620F3">
      <w:pPr>
        <w:pStyle w:val="Standard"/>
      </w:pPr>
    </w:p>
    <w:p w:rsidR="003620F3" w:rsidRDefault="003620F3">
      <w:pPr>
        <w:pStyle w:val="Standard"/>
        <w:tabs>
          <w:tab w:val="left" w:pos="1789"/>
        </w:tabs>
        <w:overflowPunct w:val="0"/>
        <w:autoSpaceDE w:val="0"/>
        <w:spacing w:after="0"/>
        <w:ind w:left="1080" w:firstLine="0"/>
        <w:rPr>
          <w:szCs w:val="22"/>
          <w:lang w:val="en-US"/>
        </w:rPr>
      </w:pPr>
    </w:p>
    <w:p w:rsidR="003620F3" w:rsidRDefault="003620F3">
      <w:pPr>
        <w:pStyle w:val="Standard"/>
        <w:tabs>
          <w:tab w:val="left" w:pos="1789"/>
        </w:tabs>
        <w:overflowPunct w:val="0"/>
        <w:autoSpaceDE w:val="0"/>
        <w:spacing w:after="0"/>
        <w:ind w:left="1080" w:firstLine="0"/>
      </w:pPr>
    </w:p>
    <w:p w:rsidR="003620F3" w:rsidRDefault="002734FA">
      <w:pPr>
        <w:pStyle w:val="Standard"/>
        <w:tabs>
          <w:tab w:val="left" w:pos="1789"/>
        </w:tabs>
        <w:overflowPunct w:val="0"/>
        <w:autoSpaceDE w:val="0"/>
        <w:spacing w:after="0"/>
        <w:ind w:left="1080" w:firstLine="0"/>
      </w:pPr>
      <w:r>
        <w:rPr>
          <w:i/>
          <w:szCs w:val="22"/>
        </w:rPr>
        <w:t xml:space="preserve">Si evidenzia che il secondo periodo dell’art. 9 c. 2 bis del DL 78/2010 convertito con modificazioni nella legge n. 122/2010, inserito dalla Legge di </w:t>
      </w:r>
      <w:r>
        <w:rPr>
          <w:i/>
          <w:szCs w:val="22"/>
        </w:rPr>
        <w:t>Stabilità 2014 (Legge n. 147/2013) all'art. 1, comma 456, stabilisce “ che: «A decorrere dal 1º gennaio 2015, le risorse destinate annualmente al trattamento economico accessorio sono decurtate di un importo pari alle riduzioni operate per effetto del prec</w:t>
      </w:r>
      <w:r>
        <w:rPr>
          <w:i/>
          <w:szCs w:val="22"/>
        </w:rPr>
        <w:t>edente periodo»</w:t>
      </w:r>
    </w:p>
    <w:p w:rsidR="003620F3" w:rsidRDefault="002734FA">
      <w:pPr>
        <w:pStyle w:val="Standard"/>
        <w:tabs>
          <w:tab w:val="left" w:pos="1789"/>
        </w:tabs>
        <w:overflowPunct w:val="0"/>
        <w:autoSpaceDE w:val="0"/>
        <w:spacing w:after="0"/>
        <w:ind w:left="1080" w:firstLine="0"/>
      </w:pPr>
      <w:r>
        <w:rPr>
          <w:i/>
          <w:szCs w:val="22"/>
        </w:rPr>
        <w:t>Pertanto, a partire dall'anno 2015 le risorse decentrate dovranno essere ridotte dell'importo decurtato per il  triennio 2011/2014,</w:t>
      </w:r>
      <w:r>
        <w:rPr>
          <w:rStyle w:val="StrongEmphasis"/>
          <w:b w:val="0"/>
          <w:i/>
          <w:iCs/>
          <w:szCs w:val="22"/>
        </w:rPr>
        <w:t xml:space="preserve">  mediante la conferma della quota di decurtazione operata nell'anno 2014 per cessazioni e rispetto del 2010 </w:t>
      </w:r>
      <w:r>
        <w:rPr>
          <w:rStyle w:val="StrongEmphasis"/>
          <w:b w:val="0"/>
          <w:i/>
          <w:iCs/>
          <w:szCs w:val="22"/>
        </w:rPr>
        <w:t>(Circolare RGS n. 20 del 8.5.20105).</w:t>
      </w:r>
    </w:p>
    <w:p w:rsidR="003620F3" w:rsidRDefault="003620F3">
      <w:pPr>
        <w:pStyle w:val="Standard"/>
        <w:tabs>
          <w:tab w:val="left" w:pos="1789"/>
        </w:tabs>
        <w:overflowPunct w:val="0"/>
        <w:autoSpaceDE w:val="0"/>
        <w:spacing w:after="0"/>
        <w:ind w:left="1080" w:firstLine="0"/>
      </w:pPr>
    </w:p>
    <w:p w:rsidR="003620F3" w:rsidRDefault="002734FA">
      <w:pPr>
        <w:pStyle w:val="Standard"/>
        <w:tabs>
          <w:tab w:val="left" w:pos="1789"/>
        </w:tabs>
        <w:overflowPunct w:val="0"/>
        <w:autoSpaceDE w:val="0"/>
        <w:spacing w:after="0"/>
        <w:ind w:left="1080" w:firstLine="0"/>
      </w:pPr>
      <w:r>
        <w:t xml:space="preserve">Nel periodo 2011-2014 non </w:t>
      </w:r>
      <w:r>
        <w:rPr>
          <w:rFonts w:ascii="Tahoma" w:hAnsi="Tahoma" w:cs="Tahoma"/>
          <w:bCs/>
          <w:color w:val="000000"/>
          <w:sz w:val="20"/>
          <w:szCs w:val="22"/>
          <w:lang w:eastAsia="it-IT"/>
        </w:rPr>
        <w:t>risultano decurtazioni rispetto ai vincoli sul fondo 2010</w:t>
      </w:r>
      <w:r>
        <w:t xml:space="preserve"> e pertanto  non </w:t>
      </w:r>
      <w:r>
        <w:rPr>
          <w:shd w:val="clear" w:color="auto" w:fill="FFFFFF"/>
        </w:rPr>
        <w:t>vi sono differ</w:t>
      </w:r>
      <w:r>
        <w:t>enze che dovranno generare la riduzione del fondo del 2016.</w:t>
      </w:r>
    </w:p>
    <w:p w:rsidR="003620F3" w:rsidRDefault="003620F3">
      <w:pPr>
        <w:pStyle w:val="Standard"/>
        <w:tabs>
          <w:tab w:val="left" w:pos="1789"/>
        </w:tabs>
        <w:overflowPunct w:val="0"/>
        <w:autoSpaceDE w:val="0"/>
        <w:spacing w:after="0"/>
        <w:ind w:left="1080" w:firstLine="0"/>
      </w:pPr>
    </w:p>
    <w:p w:rsidR="003620F3" w:rsidRDefault="002734FA">
      <w:pPr>
        <w:pStyle w:val="Standard"/>
        <w:tabs>
          <w:tab w:val="left" w:pos="1789"/>
        </w:tabs>
        <w:overflowPunct w:val="0"/>
        <w:autoSpaceDE w:val="0"/>
        <w:spacing w:after="0"/>
        <w:ind w:left="1080" w:firstLine="0"/>
      </w:pPr>
      <w:r>
        <w:rPr>
          <w:i/>
          <w:szCs w:val="22"/>
        </w:rPr>
        <w:t>Si evidenzia che</w:t>
      </w:r>
      <w:r>
        <w:rPr>
          <w:szCs w:val="22"/>
        </w:rPr>
        <w:t xml:space="preserve"> l’art. 1 c. 236 della L. </w:t>
      </w:r>
      <w:r>
        <w:rPr>
          <w:szCs w:val="22"/>
        </w:rPr>
        <w:t>208/2015 prevede che a decorrere dal 1° gennaio 2016   (n</w:t>
      </w:r>
      <w:r>
        <w:rPr>
          <w:rStyle w:val="StrongEmphasis"/>
          <w:b w:val="0"/>
          <w:i/>
          <w:iCs/>
          <w:szCs w:val="22"/>
        </w:rPr>
        <w:t>elle more dell'adozione  dei  decreti  legislativi  attuativi degli articoli 11 e 17  della  legge  7  agosto  2015,  n.  124,  con particolare   riferimento   all'omogeneizzazione   del    trattamen</w:t>
      </w:r>
      <w:r>
        <w:rPr>
          <w:rStyle w:val="StrongEmphasis"/>
          <w:b w:val="0"/>
          <w:i/>
          <w:iCs/>
          <w:szCs w:val="22"/>
        </w:rPr>
        <w:t>to economico fondamentale e accessorio  della  dirigenza,</w:t>
      </w:r>
      <w:r>
        <w:rPr>
          <w:i/>
          <w:szCs w:val="22"/>
        </w:rPr>
        <w:t>),</w:t>
      </w:r>
      <w:r>
        <w:rPr>
          <w:szCs w:val="22"/>
        </w:rPr>
        <w:t xml:space="preserve"> </w:t>
      </w:r>
      <w:r>
        <w:rPr>
          <w:i/>
          <w:szCs w:val="22"/>
        </w:rPr>
        <w:t xml:space="preserve">l'ammontare complessivo delle risorse destinate annualmente al trattamento accessorio del personale non può superare  il corrispondente importo dell’anno 20105. </w:t>
      </w:r>
      <w:r>
        <w:rPr>
          <w:szCs w:val="22"/>
        </w:rPr>
        <w:t>Lo stesso comma  dispone la riduzio</w:t>
      </w:r>
      <w:r>
        <w:rPr>
          <w:szCs w:val="22"/>
        </w:rPr>
        <w:t xml:space="preserve">ne in misura proporzionale dello stesso in conseguenza della cessazione dal servizio di una o più unità di personale dipendente (tenendo conto del  personale  assumibile  ai  sensi  della  normativa vigente) . A tal fine si utilizza per analogia il metodo </w:t>
      </w:r>
      <w:r>
        <w:rPr>
          <w:szCs w:val="22"/>
        </w:rPr>
        <w:t>fornito dall</w:t>
      </w:r>
      <w:r>
        <w:rPr>
          <w:i/>
          <w:szCs w:val="22"/>
        </w:rPr>
        <w:t xml:space="preserve">a Circolare n. 12 del 15.04.2011  della Ragioneria Generale per il calcolo </w:t>
      </w:r>
      <w:r>
        <w:rPr>
          <w:szCs w:val="22"/>
        </w:rPr>
        <w:t>della decurtazione del fondo di cui al punto precedente, operando sul personale in servizio presso l’Ente (considerate tutte le cessazioni e assunzioni) come da prospett</w:t>
      </w:r>
      <w:r>
        <w:rPr>
          <w:szCs w:val="22"/>
        </w:rPr>
        <w:t>o seguente:</w:t>
      </w:r>
    </w:p>
    <w:p w:rsidR="003620F3" w:rsidRDefault="003620F3">
      <w:pPr>
        <w:pStyle w:val="Standard"/>
        <w:rPr>
          <w:rFonts w:cs="Tahoma"/>
          <w:szCs w:val="22"/>
          <w:shd w:val="clear" w:color="auto" w:fill="FFFF00"/>
        </w:rPr>
      </w:pPr>
    </w:p>
    <w:tbl>
      <w:tblPr>
        <w:tblW w:w="7376" w:type="dxa"/>
        <w:jc w:val="center"/>
        <w:tblLayout w:type="fixed"/>
        <w:tblCellMar>
          <w:left w:w="10" w:type="dxa"/>
          <w:right w:w="10" w:type="dxa"/>
        </w:tblCellMar>
        <w:tblLook w:val="04A0" w:firstRow="1" w:lastRow="0" w:firstColumn="1" w:lastColumn="0" w:noHBand="0" w:noVBand="1"/>
      </w:tblPr>
      <w:tblGrid>
        <w:gridCol w:w="1207"/>
        <w:gridCol w:w="1207"/>
        <w:gridCol w:w="1265"/>
        <w:gridCol w:w="1206"/>
        <w:gridCol w:w="1206"/>
        <w:gridCol w:w="1285"/>
      </w:tblGrid>
      <w:tr w:rsidR="003620F3">
        <w:tblPrEx>
          <w:tblCellMar>
            <w:top w:w="0" w:type="dxa"/>
            <w:bottom w:w="0" w:type="dxa"/>
          </w:tblCellMar>
        </w:tblPrEx>
        <w:trPr>
          <w:trHeight w:val="825"/>
          <w:jc w:val="center"/>
        </w:trPr>
        <w:tc>
          <w:tcPr>
            <w:tcW w:w="1207"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rPr>
                <w:rFonts w:cs="Tahoma"/>
                <w:szCs w:val="22"/>
              </w:rPr>
            </w:pPr>
            <w:r>
              <w:rPr>
                <w:rFonts w:cs="Tahoma"/>
                <w:szCs w:val="22"/>
              </w:rPr>
              <w:t>N° dip 1.1.2015</w:t>
            </w:r>
          </w:p>
        </w:tc>
        <w:tc>
          <w:tcPr>
            <w:tcW w:w="1207"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rPr>
                <w:rFonts w:cs="Tahoma"/>
                <w:szCs w:val="22"/>
              </w:rPr>
            </w:pPr>
            <w:r>
              <w:rPr>
                <w:rFonts w:cs="Tahoma"/>
                <w:szCs w:val="22"/>
              </w:rPr>
              <w:t>N° dip 31.12.2015</w:t>
            </w:r>
          </w:p>
        </w:tc>
        <w:tc>
          <w:tcPr>
            <w:tcW w:w="1265"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rPr>
                <w:rFonts w:cs="Tahoma"/>
                <w:szCs w:val="22"/>
              </w:rPr>
            </w:pPr>
            <w:r>
              <w:rPr>
                <w:rFonts w:cs="Tahoma"/>
                <w:szCs w:val="22"/>
              </w:rPr>
              <w:t>Media dip 2015</w:t>
            </w:r>
          </w:p>
        </w:tc>
        <w:tc>
          <w:tcPr>
            <w:tcW w:w="12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rPr>
                <w:rFonts w:cs="Tahoma"/>
                <w:szCs w:val="22"/>
              </w:rPr>
            </w:pPr>
            <w:r>
              <w:rPr>
                <w:rFonts w:cs="Tahoma"/>
                <w:szCs w:val="22"/>
              </w:rPr>
              <w:t>N° dip 1.1.2016</w:t>
            </w:r>
          </w:p>
        </w:tc>
        <w:tc>
          <w:tcPr>
            <w:tcW w:w="12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pPr>
            <w:r>
              <w:rPr>
                <w:rFonts w:cs="Tahoma"/>
                <w:szCs w:val="22"/>
              </w:rPr>
              <w:t>N° dip 31.12.2016</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pPr>
            <w:r>
              <w:rPr>
                <w:rFonts w:cs="Tahoma"/>
                <w:szCs w:val="22"/>
              </w:rPr>
              <w:t>Media dip 2016</w:t>
            </w:r>
          </w:p>
        </w:tc>
      </w:tr>
      <w:tr w:rsidR="003620F3">
        <w:tblPrEx>
          <w:tblCellMar>
            <w:top w:w="0" w:type="dxa"/>
            <w:bottom w:w="0" w:type="dxa"/>
          </w:tblCellMar>
        </w:tblPrEx>
        <w:trPr>
          <w:trHeight w:val="555"/>
          <w:jc w:val="center"/>
        </w:trPr>
        <w:tc>
          <w:tcPr>
            <w:tcW w:w="1207"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szCs w:val="22"/>
              </w:rPr>
            </w:pPr>
            <w:r>
              <w:rPr>
                <w:rFonts w:cs="Tahoma"/>
                <w:szCs w:val="22"/>
              </w:rPr>
              <w:t>6,00</w:t>
            </w:r>
          </w:p>
        </w:tc>
        <w:tc>
          <w:tcPr>
            <w:tcW w:w="1207"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szCs w:val="22"/>
              </w:rPr>
            </w:pPr>
            <w:r>
              <w:rPr>
                <w:rFonts w:cs="Tahoma"/>
                <w:szCs w:val="22"/>
              </w:rPr>
              <w:t>6,00</w:t>
            </w:r>
          </w:p>
        </w:tc>
        <w:tc>
          <w:tcPr>
            <w:tcW w:w="1265"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szCs w:val="22"/>
              </w:rPr>
            </w:pPr>
            <w:r>
              <w:rPr>
                <w:rFonts w:cs="Tahoma"/>
                <w:szCs w:val="22"/>
              </w:rPr>
              <w:t>6,00</w:t>
            </w:r>
          </w:p>
        </w:tc>
        <w:tc>
          <w:tcPr>
            <w:tcW w:w="1206"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szCs w:val="22"/>
              </w:rPr>
            </w:pPr>
            <w:r>
              <w:rPr>
                <w:rFonts w:cs="Tahoma"/>
                <w:szCs w:val="22"/>
              </w:rPr>
              <w:t>6,00</w:t>
            </w:r>
          </w:p>
        </w:tc>
        <w:tc>
          <w:tcPr>
            <w:tcW w:w="1206" w:type="dxa"/>
            <w:tcBorders>
              <w:left w:val="single" w:sz="8" w:space="0" w:color="000000"/>
              <w:bottom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szCs w:val="22"/>
              </w:rPr>
            </w:pPr>
            <w:r>
              <w:rPr>
                <w:rFonts w:cs="Tahoma"/>
                <w:szCs w:val="22"/>
              </w:rPr>
              <w:t>6,00</w:t>
            </w:r>
          </w:p>
        </w:tc>
        <w:tc>
          <w:tcPr>
            <w:tcW w:w="128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3620F3" w:rsidRDefault="002734FA">
            <w:pPr>
              <w:pStyle w:val="Standard"/>
              <w:snapToGrid w:val="0"/>
              <w:spacing w:after="0"/>
              <w:ind w:firstLine="0"/>
              <w:jc w:val="center"/>
              <w:rPr>
                <w:rFonts w:cs="Tahoma"/>
                <w:szCs w:val="22"/>
              </w:rPr>
            </w:pPr>
            <w:r>
              <w:rPr>
                <w:rFonts w:cs="Tahoma"/>
                <w:szCs w:val="22"/>
              </w:rPr>
              <w:t>6,00</w:t>
            </w:r>
          </w:p>
        </w:tc>
      </w:tr>
    </w:tbl>
    <w:p w:rsidR="003620F3" w:rsidRDefault="003620F3">
      <w:pPr>
        <w:pStyle w:val="Standard"/>
        <w:rPr>
          <w:rFonts w:cs="Tahoma"/>
          <w:szCs w:val="22"/>
          <w:shd w:val="clear" w:color="auto" w:fill="FFFF00"/>
        </w:rPr>
      </w:pPr>
    </w:p>
    <w:p w:rsidR="003620F3" w:rsidRDefault="003620F3">
      <w:pPr>
        <w:pStyle w:val="Standard"/>
        <w:rPr>
          <w:rFonts w:cs="Tahoma"/>
          <w:szCs w:val="22"/>
          <w:shd w:val="clear" w:color="auto" w:fill="FFFF00"/>
        </w:rPr>
      </w:pPr>
    </w:p>
    <w:p w:rsidR="003620F3" w:rsidRDefault="002734FA">
      <w:pPr>
        <w:pStyle w:val="Standard"/>
        <w:numPr>
          <w:ilvl w:val="0"/>
          <w:numId w:val="33"/>
        </w:numPr>
      </w:pPr>
      <w:r>
        <w:rPr>
          <w:rFonts w:cs="Tahoma"/>
          <w:szCs w:val="22"/>
        </w:rPr>
        <w:t>la media dei dipendenti al 31.12.</w:t>
      </w:r>
      <w:r>
        <w:rPr>
          <w:szCs w:val="22"/>
        </w:rPr>
        <w:t xml:space="preserve"> </w:t>
      </w:r>
      <w:r>
        <w:rPr>
          <w:rFonts w:cs="Tahoma"/>
          <w:szCs w:val="22"/>
        </w:rPr>
        <w:t>dell’anno corrente risulta quantificata nello stesso numero rispetto all’anno</w:t>
      </w:r>
      <w:r>
        <w:rPr>
          <w:rFonts w:cs="Tahoma"/>
          <w:szCs w:val="22"/>
        </w:rPr>
        <w:t xml:space="preserve"> 2015 e pertanto non vi sono differenze percentuali che dovranno generare una riduzione del fondo medesimo;</w:t>
      </w:r>
    </w:p>
    <w:p w:rsidR="003620F3" w:rsidRDefault="003620F3">
      <w:pPr>
        <w:pStyle w:val="Standard"/>
        <w:numPr>
          <w:ilvl w:val="0"/>
          <w:numId w:val="33"/>
        </w:numPr>
        <w:rPr>
          <w:rFonts w:ascii="Tahoma" w:hAnsi="Tahoma" w:cs="Tahoma"/>
          <w:color w:val="FF3300"/>
          <w:szCs w:val="22"/>
        </w:rPr>
      </w:pPr>
    </w:p>
    <w:p w:rsidR="003620F3" w:rsidRDefault="002734FA">
      <w:pPr>
        <w:pStyle w:val="Standard"/>
        <w:ind w:hanging="57"/>
        <w:rPr>
          <w:szCs w:val="22"/>
        </w:rPr>
      </w:pPr>
      <w:r>
        <w:rPr>
          <w:szCs w:val="22"/>
        </w:rPr>
        <w:t xml:space="preserve">Qualora nel corso dell’anno 2016 si verificasse una variazione rispetto alla media di personale presunta, sarà da rettificare l’esatto importo del </w:t>
      </w:r>
      <w:r>
        <w:rPr>
          <w:szCs w:val="22"/>
        </w:rPr>
        <w:t>fondo di produttività ai sensi dell’art. 1 comma 236 della L. 208/2015 .</w:t>
      </w:r>
    </w:p>
    <w:p w:rsidR="003620F3" w:rsidRDefault="003620F3">
      <w:pPr>
        <w:pStyle w:val="Standard"/>
        <w:ind w:left="1080" w:firstLine="0"/>
        <w:rPr>
          <w:rFonts w:cs="Times-Roman"/>
          <w:szCs w:val="22"/>
        </w:rPr>
      </w:pPr>
    </w:p>
    <w:p w:rsidR="003620F3" w:rsidRDefault="002734FA">
      <w:pPr>
        <w:pStyle w:val="Standard"/>
        <w:tabs>
          <w:tab w:val="left" w:pos="0"/>
        </w:tabs>
        <w:ind w:firstLine="57"/>
      </w:pPr>
      <w:r>
        <w:rPr>
          <w:rFonts w:cs="Tahoma"/>
          <w:szCs w:val="22"/>
        </w:rPr>
        <w:t xml:space="preserve">Si precisa che il totale del fondo </w:t>
      </w:r>
      <w:r>
        <w:rPr>
          <w:szCs w:val="22"/>
        </w:rPr>
        <w:t xml:space="preserve">(solo voci soggette al blocco ) </w:t>
      </w:r>
      <w:r>
        <w:rPr>
          <w:rFonts w:cs="Tahoma"/>
          <w:szCs w:val="22"/>
        </w:rPr>
        <w:t>per l’anno 2016 al netto delle decurtazioni è pari ad €</w:t>
      </w:r>
      <w:r>
        <w:rPr>
          <w:rFonts w:cs="Tahoma"/>
          <w:b/>
          <w:bCs/>
          <w:szCs w:val="22"/>
        </w:rPr>
        <w:t xml:space="preserve"> 16.273,47</w:t>
      </w:r>
      <w:r>
        <w:rPr>
          <w:rFonts w:cs="Tahoma"/>
          <w:szCs w:val="22"/>
        </w:rPr>
        <w:t>.</w:t>
      </w:r>
    </w:p>
    <w:p w:rsidR="003620F3" w:rsidRDefault="002734FA">
      <w:pPr>
        <w:pStyle w:val="Standard"/>
        <w:ind w:firstLine="0"/>
      </w:pPr>
      <w:r>
        <w:rPr>
          <w:rFonts w:cs="Times-Roman"/>
          <w:szCs w:val="22"/>
        </w:rPr>
        <w:lastRenderedPageBreak/>
        <w:t xml:space="preserve">Pertanto si attesta che il fondo 2016 risulta </w:t>
      </w:r>
      <w:r>
        <w:rPr>
          <w:rFonts w:cs="Times-Roman"/>
          <w:szCs w:val="22"/>
        </w:rPr>
        <w:t>non superiore al fondo anno 2015 (Tali valori non includono le risorse di cui alla lettera k dell’art. 15 comma 1 per la progettazione e l’avvocatura, gli importi di cui alla lettera d dell’art. 15, delle economie dell’anno precedente di cui all’art. 15 co</w:t>
      </w:r>
      <w:r>
        <w:rPr>
          <w:rFonts w:cs="Times-Roman"/>
          <w:szCs w:val="22"/>
        </w:rPr>
        <w:t>mma 1 lett. m e dell’art. 17 comma 5 del CCNL 1.4.1999).</w:t>
      </w:r>
    </w:p>
    <w:p w:rsidR="003620F3" w:rsidRDefault="002734FA">
      <w:pPr>
        <w:pStyle w:val="Titolo3"/>
      </w:pPr>
      <w:r>
        <w:t>Sezione IV - Sintesi della costituzione del Fondo sottoposto a certificazione</w:t>
      </w:r>
    </w:p>
    <w:p w:rsidR="003620F3" w:rsidRDefault="003620F3">
      <w:pPr>
        <w:pStyle w:val="PuntoElencoLettere"/>
        <w:numPr>
          <w:ilvl w:val="0"/>
          <w:numId w:val="0"/>
        </w:numPr>
        <w:tabs>
          <w:tab w:val="clear" w:pos="-873"/>
          <w:tab w:val="left" w:pos="2268"/>
        </w:tabs>
        <w:ind w:left="1134" w:hanging="360"/>
        <w:jc w:val="center"/>
        <w:rPr>
          <w:b/>
          <w:szCs w:val="22"/>
          <w:shd w:val="clear" w:color="auto" w:fill="FFFF00"/>
          <w:lang w:eastAsia="en-US"/>
        </w:rPr>
      </w:pPr>
    </w:p>
    <w:tbl>
      <w:tblPr>
        <w:tblW w:w="8310" w:type="dxa"/>
        <w:tblInd w:w="606" w:type="dxa"/>
        <w:tblLayout w:type="fixed"/>
        <w:tblCellMar>
          <w:left w:w="10" w:type="dxa"/>
          <w:right w:w="10" w:type="dxa"/>
        </w:tblCellMar>
        <w:tblLook w:val="04A0" w:firstRow="1" w:lastRow="0" w:firstColumn="1" w:lastColumn="0" w:noHBand="0" w:noVBand="1"/>
      </w:tblPr>
      <w:tblGrid>
        <w:gridCol w:w="6060"/>
        <w:gridCol w:w="2250"/>
      </w:tblGrid>
      <w:tr w:rsidR="003620F3">
        <w:tblPrEx>
          <w:tblCellMar>
            <w:top w:w="0" w:type="dxa"/>
            <w:bottom w:w="0" w:type="dxa"/>
          </w:tblCellMar>
        </w:tblPrEx>
        <w:trPr>
          <w:trHeight w:val="585"/>
        </w:trPr>
        <w:tc>
          <w:tcPr>
            <w:tcW w:w="606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113"/>
              <w:jc w:val="center"/>
              <w:rPr>
                <w:rFonts w:cs="Tahoma"/>
                <w:b/>
                <w:bCs/>
                <w:szCs w:val="22"/>
              </w:rPr>
            </w:pPr>
            <w:r>
              <w:rPr>
                <w:rFonts w:cs="Tahoma"/>
                <w:b/>
                <w:bCs/>
                <w:szCs w:val="22"/>
              </w:rPr>
              <w:t>TOTALE Risorse fisse aventi carattere di certezza e stabilità (A)</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17.610,80</w:t>
            </w:r>
          </w:p>
        </w:tc>
      </w:tr>
      <w:tr w:rsidR="003620F3">
        <w:tblPrEx>
          <w:tblCellMar>
            <w:top w:w="0" w:type="dxa"/>
            <w:bottom w:w="0" w:type="dxa"/>
          </w:tblCellMar>
        </w:tblPrEx>
        <w:trPr>
          <w:trHeight w:val="585"/>
        </w:trPr>
        <w:tc>
          <w:tcPr>
            <w:tcW w:w="606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 xml:space="preserve">TOTALE decurtazioni aventi carattere di </w:t>
            </w:r>
            <w:r>
              <w:rPr>
                <w:rFonts w:cs="Tahoma"/>
                <w:b/>
                <w:bCs/>
                <w:szCs w:val="22"/>
              </w:rPr>
              <w:t>certezza e stabilita’ (B)</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2.400,10</w:t>
            </w:r>
          </w:p>
        </w:tc>
      </w:tr>
      <w:tr w:rsidR="003620F3">
        <w:tblPrEx>
          <w:tblCellMar>
            <w:top w:w="0" w:type="dxa"/>
            <w:bottom w:w="0" w:type="dxa"/>
          </w:tblCellMar>
        </w:tblPrEx>
        <w:trPr>
          <w:trHeight w:val="585"/>
        </w:trPr>
        <w:tc>
          <w:tcPr>
            <w:tcW w:w="606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Risorse fisse aventi carattere di certezza e stabilità DOPO LE DECURTAZIONI</w:t>
            </w:r>
          </w:p>
          <w:p w:rsidR="003620F3" w:rsidRDefault="002734FA">
            <w:pPr>
              <w:pStyle w:val="Standard"/>
              <w:spacing w:after="0"/>
              <w:ind w:firstLine="0"/>
              <w:jc w:val="center"/>
              <w:rPr>
                <w:rFonts w:cs="Tahoma"/>
                <w:b/>
                <w:bCs/>
                <w:szCs w:val="22"/>
              </w:rPr>
            </w:pPr>
            <w:r>
              <w:rPr>
                <w:rFonts w:cs="Tahoma"/>
                <w:b/>
                <w:bCs/>
                <w:szCs w:val="22"/>
              </w:rPr>
              <w:t>(A-B)</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15.210,70</w:t>
            </w:r>
          </w:p>
        </w:tc>
      </w:tr>
      <w:tr w:rsidR="003620F3">
        <w:tblPrEx>
          <w:tblCellMar>
            <w:top w:w="0" w:type="dxa"/>
            <w:bottom w:w="0" w:type="dxa"/>
          </w:tblCellMar>
        </w:tblPrEx>
        <w:trPr>
          <w:trHeight w:val="585"/>
        </w:trPr>
        <w:tc>
          <w:tcPr>
            <w:tcW w:w="606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Risorse variabili  (C)</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18.145,25</w:t>
            </w:r>
          </w:p>
        </w:tc>
      </w:tr>
      <w:tr w:rsidR="003620F3">
        <w:tblPrEx>
          <w:tblCellMar>
            <w:top w:w="0" w:type="dxa"/>
            <w:bottom w:w="0" w:type="dxa"/>
          </w:tblCellMar>
        </w:tblPrEx>
        <w:trPr>
          <w:trHeight w:val="585"/>
        </w:trPr>
        <w:tc>
          <w:tcPr>
            <w:tcW w:w="606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DECURTAZIONI sulle voci variabili (D)</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0,00</w:t>
            </w:r>
          </w:p>
        </w:tc>
      </w:tr>
      <w:tr w:rsidR="003620F3">
        <w:tblPrEx>
          <w:tblCellMar>
            <w:top w:w="0" w:type="dxa"/>
            <w:bottom w:w="0" w:type="dxa"/>
          </w:tblCellMar>
        </w:tblPrEx>
        <w:trPr>
          <w:trHeight w:val="585"/>
        </w:trPr>
        <w:tc>
          <w:tcPr>
            <w:tcW w:w="606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 xml:space="preserve">Totale risorse variabili dopo le </w:t>
            </w:r>
            <w:r>
              <w:rPr>
                <w:rFonts w:cs="Tahoma"/>
                <w:b/>
                <w:bCs/>
                <w:szCs w:val="22"/>
              </w:rPr>
              <w:t>decurtazioni (C-D)</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18.145,25</w:t>
            </w:r>
          </w:p>
        </w:tc>
      </w:tr>
      <w:tr w:rsidR="003620F3">
        <w:tblPrEx>
          <w:tblCellMar>
            <w:top w:w="0" w:type="dxa"/>
            <w:bottom w:w="0" w:type="dxa"/>
          </w:tblCellMar>
        </w:tblPrEx>
        <w:trPr>
          <w:trHeight w:val="930"/>
        </w:trPr>
        <w:tc>
          <w:tcPr>
            <w:tcW w:w="6060" w:type="dxa"/>
            <w:tcBorders>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 w:val="28"/>
                <w:szCs w:val="28"/>
              </w:rPr>
            </w:pPr>
            <w:r>
              <w:rPr>
                <w:rFonts w:cs="Tahoma"/>
                <w:b/>
                <w:bCs/>
                <w:sz w:val="28"/>
                <w:szCs w:val="28"/>
              </w:rPr>
              <w:t>TOTALE FONDO</w:t>
            </w:r>
          </w:p>
          <w:p w:rsidR="003620F3" w:rsidRDefault="002734FA">
            <w:pPr>
              <w:pStyle w:val="Standard"/>
              <w:spacing w:after="0"/>
              <w:ind w:firstLine="0"/>
              <w:jc w:val="center"/>
              <w:rPr>
                <w:rFonts w:cs="Tahoma"/>
                <w:b/>
                <w:bCs/>
                <w:szCs w:val="22"/>
              </w:rPr>
            </w:pPr>
            <w:r>
              <w:rPr>
                <w:rFonts w:cs="Tahoma"/>
                <w:b/>
                <w:bCs/>
                <w:szCs w:val="22"/>
              </w:rPr>
              <w:t>(A-B)+ (C-D)</w:t>
            </w:r>
          </w:p>
        </w:tc>
        <w:tc>
          <w:tcPr>
            <w:tcW w:w="2250" w:type="dxa"/>
            <w:tcBorders>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33.355,95</w:t>
            </w:r>
          </w:p>
        </w:tc>
      </w:tr>
    </w:tbl>
    <w:p w:rsidR="003620F3" w:rsidRDefault="003620F3">
      <w:pPr>
        <w:pStyle w:val="Standard"/>
        <w:rPr>
          <w:szCs w:val="22"/>
          <w:lang w:val="en-US"/>
        </w:rPr>
      </w:pPr>
    </w:p>
    <w:p w:rsidR="003620F3" w:rsidRDefault="002734FA">
      <w:pPr>
        <w:pStyle w:val="Standard"/>
        <w:rPr>
          <w:rFonts w:cs="Arial"/>
          <w:i/>
          <w:iCs/>
          <w:color w:val="FFFFFF"/>
          <w:sz w:val="28"/>
          <w:shd w:val="clear" w:color="auto" w:fill="457FAF"/>
        </w:rPr>
      </w:pPr>
      <w:r>
        <w:rPr>
          <w:rFonts w:cs="Arial"/>
          <w:i/>
          <w:iCs/>
          <w:color w:val="FFFFFF"/>
          <w:sz w:val="28"/>
          <w:shd w:val="clear" w:color="auto" w:fill="457FAF"/>
        </w:rPr>
        <w:t>Sezione V – Risorse temporaneamente allocate all'esterno del fondo</w:t>
      </w:r>
    </w:p>
    <w:p w:rsidR="003620F3" w:rsidRDefault="002734FA">
      <w:pPr>
        <w:pStyle w:val="Standard"/>
        <w:rPr>
          <w:szCs w:val="22"/>
          <w:shd w:val="clear" w:color="auto" w:fill="FFFFFF"/>
        </w:rPr>
      </w:pPr>
      <w:r>
        <w:rPr>
          <w:szCs w:val="22"/>
          <w:shd w:val="clear" w:color="auto" w:fill="FFFFFF"/>
        </w:rPr>
        <w:t>Parte non pertinente allo specifico accordo illustrato.</w:t>
      </w:r>
    </w:p>
    <w:p w:rsidR="003620F3" w:rsidRDefault="002734FA">
      <w:pPr>
        <w:pStyle w:val="Standard"/>
        <w:rPr>
          <w:szCs w:val="22"/>
          <w:shd w:val="clear" w:color="auto" w:fill="FFFFFF"/>
        </w:rPr>
      </w:pPr>
      <w:r>
        <w:rPr>
          <w:szCs w:val="22"/>
          <w:shd w:val="clear" w:color="auto" w:fill="FFFFFF"/>
        </w:rPr>
        <w:t xml:space="preserve">Si precisa che ai sensi dell'Art. 33 del CCNL 22.1.2004 </w:t>
      </w:r>
      <w:r>
        <w:rPr>
          <w:szCs w:val="22"/>
          <w:shd w:val="clear" w:color="auto" w:fill="FFFFFF"/>
        </w:rPr>
        <w:t>l'indennità di comparto prevede una parte di risorse a carico del bilancio (cosiddetta quota a) e una parte a carico delle risorse decentrate (cosiddette quote b e c). Gli importi  di cui alla lettera b e c ad un totale di € 3.318,12 .</w:t>
      </w:r>
    </w:p>
    <w:p w:rsidR="003620F3" w:rsidRDefault="002734FA">
      <w:pPr>
        <w:pStyle w:val="Standard"/>
      </w:pPr>
      <w:r>
        <w:rPr>
          <w:szCs w:val="22"/>
          <w:shd w:val="clear" w:color="auto" w:fill="FFFFFF"/>
        </w:rPr>
        <w:t xml:space="preserve">Per quanto riguarda </w:t>
      </w:r>
      <w:r>
        <w:rPr>
          <w:szCs w:val="22"/>
          <w:shd w:val="clear" w:color="auto" w:fill="FFFFFF"/>
        </w:rPr>
        <w:t xml:space="preserve">le PEO in godimento, vengono inseriti a carico del fondo, gli importi rivalutati </w:t>
      </w:r>
      <w:r>
        <w:rPr>
          <w:szCs w:val="22"/>
          <w:lang w:eastAsia="it-IT"/>
        </w:rPr>
        <w:t xml:space="preserve"> dai vari contratti, quindi come valore aggiornato agli ultimi incrementi stipendiali. Per poter finanziare dal fondo il costo rivalutato delle PEO, la Dichiarazione Congiunta</w:t>
      </w:r>
      <w:r>
        <w:rPr>
          <w:szCs w:val="22"/>
          <w:lang w:eastAsia="it-IT"/>
        </w:rPr>
        <w:t xml:space="preserve"> n. 14 del CCNL 22.1.2004 e quella successiva N. 4 del CCNL 9.5.2006  hanno previsto una integrazione del fondo, calcolata in € 1.249,01  con le modalità previste dal parere ARAN RAL 1725</w:t>
      </w:r>
    </w:p>
    <w:p w:rsidR="003620F3" w:rsidRDefault="003620F3">
      <w:pPr>
        <w:pStyle w:val="Standard"/>
        <w:rPr>
          <w:szCs w:val="22"/>
          <w:shd w:val="clear" w:color="auto" w:fill="FFFFFF"/>
        </w:rPr>
      </w:pPr>
    </w:p>
    <w:p w:rsidR="003620F3" w:rsidRDefault="003620F3">
      <w:pPr>
        <w:pStyle w:val="Standard"/>
        <w:rPr>
          <w:rFonts w:ascii="Tahoma" w:hAnsi="Tahoma" w:cs="Tahoma"/>
          <w:color w:val="FF6600"/>
          <w:szCs w:val="22"/>
        </w:rPr>
      </w:pPr>
    </w:p>
    <w:p w:rsidR="003620F3" w:rsidRDefault="002734FA">
      <w:pPr>
        <w:pStyle w:val="Standard"/>
        <w:rPr>
          <w:rFonts w:cs="Arial"/>
          <w:b/>
          <w:i/>
          <w:iCs/>
          <w:color w:val="31849B"/>
          <w:sz w:val="28"/>
          <w:szCs w:val="28"/>
          <w:shd w:val="clear" w:color="auto" w:fill="FFFFFF"/>
        </w:rPr>
      </w:pPr>
      <w:r>
        <w:rPr>
          <w:rFonts w:cs="Arial"/>
          <w:b/>
          <w:i/>
          <w:iCs/>
          <w:color w:val="31849B"/>
          <w:sz w:val="28"/>
          <w:szCs w:val="28"/>
          <w:shd w:val="clear" w:color="auto" w:fill="FFFFFF"/>
        </w:rPr>
        <w:t xml:space="preserve">Modulo II - Definizione delle poste di destinazione del Fondo per </w:t>
      </w:r>
      <w:r>
        <w:rPr>
          <w:rFonts w:cs="Arial"/>
          <w:b/>
          <w:i/>
          <w:iCs/>
          <w:color w:val="31849B"/>
          <w:sz w:val="28"/>
          <w:szCs w:val="28"/>
          <w:shd w:val="clear" w:color="auto" w:fill="FFFFFF"/>
        </w:rPr>
        <w:t>la contrattazione integrativa</w:t>
      </w:r>
    </w:p>
    <w:p w:rsidR="003620F3" w:rsidRDefault="002734FA">
      <w:pPr>
        <w:pStyle w:val="Titolo3"/>
      </w:pPr>
      <w:r>
        <w:t>Sezione I - Destinazioni non disponibili alla contrattazione integrativa o comunque non regolate specificamente dal Contratto Integrativo sottoposto a certificazione</w:t>
      </w:r>
    </w:p>
    <w:p w:rsidR="003620F3" w:rsidRDefault="002734FA">
      <w:pPr>
        <w:pStyle w:val="Standard"/>
        <w:ind w:left="1080" w:firstLine="0"/>
      </w:pPr>
      <w:r>
        <w:rPr>
          <w:szCs w:val="22"/>
        </w:rPr>
        <w:t>Per l’anno 2016 con la determina di costituzione del Fondo n</w:t>
      </w:r>
      <w:r>
        <w:rPr>
          <w:szCs w:val="22"/>
        </w:rPr>
        <w:t xml:space="preserve">. 50 del 07.09.2016 il Dott. Domenico Delussu ha reso indisponibile alla contrattazione ai sensi dell’art. 17 comma 2 lett. b del CCNL 1.4.1999 e dell’art.33 del CCNL 22.1.2004 alcuni compensi gravanti sul fondo (indennità di comparto, </w:t>
      </w:r>
      <w:r>
        <w:rPr>
          <w:i/>
          <w:szCs w:val="22"/>
        </w:rPr>
        <w:t>progressioni economi</w:t>
      </w:r>
      <w:r>
        <w:rPr>
          <w:i/>
          <w:szCs w:val="22"/>
        </w:rPr>
        <w:t>che</w:t>
      </w:r>
      <w:r>
        <w:rPr>
          <w:szCs w:val="22"/>
        </w:rPr>
        <w:t>) poiché già determinate negli anni precedenti.</w:t>
      </w:r>
    </w:p>
    <w:p w:rsidR="003620F3" w:rsidRDefault="002734FA">
      <w:pPr>
        <w:pStyle w:val="Standard"/>
        <w:ind w:left="1080" w:firstLine="0"/>
      </w:pPr>
      <w:r>
        <w:rPr>
          <w:szCs w:val="22"/>
        </w:rPr>
        <w:lastRenderedPageBreak/>
        <w:t>Vanno</w:t>
      </w:r>
      <w:r>
        <w:rPr>
          <w:i/>
          <w:szCs w:val="22"/>
        </w:rPr>
        <w:t>, inoltre,</w:t>
      </w:r>
      <w:r>
        <w:rPr>
          <w:szCs w:val="22"/>
        </w:rPr>
        <w:t xml:space="preserve"> </w:t>
      </w:r>
      <w:r>
        <w:rPr>
          <w:i/>
          <w:szCs w:val="22"/>
        </w:rPr>
        <w:t>sottratte alla contrattazione</w:t>
      </w:r>
      <w:r>
        <w:rPr>
          <w:szCs w:val="22"/>
        </w:rPr>
        <w:t xml:space="preserve"> le risorse non regolate specificatamente dal Contratto Integrativo </w:t>
      </w:r>
      <w:r>
        <w:rPr>
          <w:i/>
          <w:szCs w:val="22"/>
        </w:rPr>
        <w:t>poiché regolate nelle annualità precedenti.</w:t>
      </w:r>
    </w:p>
    <w:tbl>
      <w:tblPr>
        <w:tblW w:w="8220" w:type="dxa"/>
        <w:tblInd w:w="681" w:type="dxa"/>
        <w:tblLayout w:type="fixed"/>
        <w:tblCellMar>
          <w:left w:w="10" w:type="dxa"/>
          <w:right w:w="10" w:type="dxa"/>
        </w:tblCellMar>
        <w:tblLook w:val="04A0" w:firstRow="1" w:lastRow="0" w:firstColumn="1" w:lastColumn="0" w:noHBand="0" w:noVBand="1"/>
      </w:tblPr>
      <w:tblGrid>
        <w:gridCol w:w="5895"/>
        <w:gridCol w:w="2325"/>
      </w:tblGrid>
      <w:tr w:rsidR="003620F3">
        <w:tblPrEx>
          <w:tblCellMar>
            <w:top w:w="0" w:type="dxa"/>
            <w:bottom w:w="0" w:type="dxa"/>
          </w:tblCellMar>
        </w:tblPrEx>
        <w:trPr>
          <w:trHeight w:val="855"/>
        </w:trPr>
        <w:tc>
          <w:tcPr>
            <w:tcW w:w="5895"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pPr>
            <w:r>
              <w:rPr>
                <w:rFonts w:ascii="Tahoma" w:hAnsi="Tahoma" w:cs="Tahoma"/>
                <w:b/>
                <w:bCs/>
                <w:sz w:val="28"/>
                <w:szCs w:val="22"/>
              </w:rPr>
              <w:t>UTILIZZO RISORSE NON DISPONIBILI ALLA CONTRATTAZ</w:t>
            </w:r>
            <w:r>
              <w:rPr>
                <w:rFonts w:ascii="Tahoma" w:hAnsi="Tahoma" w:cs="Tahoma"/>
                <w:b/>
                <w:bCs/>
                <w:sz w:val="28"/>
                <w:szCs w:val="22"/>
              </w:rPr>
              <w:t>IONE</w:t>
            </w:r>
          </w:p>
        </w:tc>
        <w:tc>
          <w:tcPr>
            <w:tcW w:w="2325" w:type="dxa"/>
            <w:tcBorders>
              <w:top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szCs w:val="22"/>
              </w:rPr>
            </w:pPr>
            <w:r>
              <w:rPr>
                <w:szCs w:val="22"/>
              </w:rPr>
              <w:t>2016</w:t>
            </w:r>
          </w:p>
        </w:tc>
      </w:tr>
      <w:tr w:rsidR="003620F3">
        <w:tblPrEx>
          <w:tblCellMar>
            <w:top w:w="0" w:type="dxa"/>
            <w:bottom w:w="0" w:type="dxa"/>
          </w:tblCellMar>
        </w:tblPrEx>
        <w:trPr>
          <w:trHeight w:val="780"/>
        </w:trPr>
        <w:tc>
          <w:tcPr>
            <w:tcW w:w="5895" w:type="dxa"/>
            <w:tcBorders>
              <w:top w:val="single" w:sz="8" w:space="0" w:color="000000"/>
              <w:left w:val="single" w:sz="8" w:space="0" w:color="000000"/>
            </w:tcBorders>
            <w:shd w:val="clear" w:color="auto" w:fill="FFFFFF"/>
            <w:tcMar>
              <w:top w:w="0" w:type="dxa"/>
              <w:left w:w="70" w:type="dxa"/>
              <w:bottom w:w="0" w:type="dxa"/>
              <w:right w:w="70" w:type="dxa"/>
            </w:tcMar>
          </w:tcPr>
          <w:p w:rsidR="003620F3" w:rsidRDefault="002734FA">
            <w:pPr>
              <w:pStyle w:val="Standard"/>
              <w:snapToGrid w:val="0"/>
              <w:jc w:val="left"/>
              <w:rPr>
                <w:szCs w:val="22"/>
              </w:rPr>
            </w:pPr>
            <w:r>
              <w:rPr>
                <w:szCs w:val="22"/>
              </w:rPr>
              <w:t xml:space="preserve">Progressioni economiche STORICHE (non specificatamente contratte nel CCDI dell'anno)                                </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szCs w:val="22"/>
              </w:rPr>
            </w:pPr>
            <w:r>
              <w:rPr>
                <w:szCs w:val="22"/>
              </w:rPr>
              <w:t>6.607,69</w:t>
            </w:r>
          </w:p>
        </w:tc>
      </w:tr>
      <w:tr w:rsidR="003620F3">
        <w:tblPrEx>
          <w:tblCellMar>
            <w:top w:w="0" w:type="dxa"/>
            <w:bottom w:w="0" w:type="dxa"/>
          </w:tblCellMar>
        </w:tblPrEx>
        <w:trPr>
          <w:trHeight w:val="525"/>
        </w:trPr>
        <w:tc>
          <w:tcPr>
            <w:tcW w:w="589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jc w:val="left"/>
              <w:rPr>
                <w:rFonts w:cs="Tahoma"/>
                <w:szCs w:val="22"/>
              </w:rPr>
            </w:pPr>
            <w:r>
              <w:rPr>
                <w:rFonts w:cs="Tahoma"/>
                <w:szCs w:val="22"/>
              </w:rPr>
              <w:t>Indennità di comparto art. 33 CCNL 22.01.04, quota a carico fondo</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szCs w:val="22"/>
              </w:rPr>
            </w:pPr>
            <w:r>
              <w:rPr>
                <w:szCs w:val="22"/>
              </w:rPr>
              <w:t>3.318,12</w:t>
            </w:r>
          </w:p>
        </w:tc>
      </w:tr>
      <w:tr w:rsidR="003620F3">
        <w:tblPrEx>
          <w:tblCellMar>
            <w:top w:w="0" w:type="dxa"/>
            <w:bottom w:w="0" w:type="dxa"/>
          </w:tblCellMar>
        </w:tblPrEx>
        <w:trPr>
          <w:trHeight w:val="570"/>
        </w:trPr>
        <w:tc>
          <w:tcPr>
            <w:tcW w:w="5895" w:type="dxa"/>
            <w:tcBorders>
              <w:top w:val="single" w:sz="8" w:space="0" w:color="000000"/>
              <w:lef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utilizzo risorse stabili</w:t>
            </w:r>
          </w:p>
        </w:tc>
        <w:tc>
          <w:tcPr>
            <w:tcW w:w="2325" w:type="dxa"/>
            <w:tcBorders>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szCs w:val="22"/>
              </w:rPr>
            </w:pPr>
            <w:r>
              <w:rPr>
                <w:szCs w:val="22"/>
              </w:rPr>
              <w:t>9.925,81</w:t>
            </w:r>
          </w:p>
        </w:tc>
      </w:tr>
      <w:tr w:rsidR="003620F3">
        <w:tblPrEx>
          <w:tblCellMar>
            <w:top w:w="0" w:type="dxa"/>
            <w:bottom w:w="0" w:type="dxa"/>
          </w:tblCellMar>
        </w:tblPrEx>
        <w:trPr>
          <w:trHeight w:val="525"/>
        </w:trPr>
        <w:tc>
          <w:tcPr>
            <w:tcW w:w="589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left"/>
              <w:rPr>
                <w:rFonts w:cs="Tahoma"/>
                <w:b/>
                <w:bCs/>
                <w:szCs w:val="22"/>
              </w:rPr>
            </w:pPr>
            <w:r>
              <w:rPr>
                <w:rFonts w:cs="Tahoma"/>
                <w:b/>
                <w:bCs/>
                <w:szCs w:val="22"/>
              </w:rPr>
              <w:t>ALTRI UTILIZZI  NON contrattate nel CCDI dell'anno</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129,00</w:t>
            </w:r>
          </w:p>
        </w:tc>
      </w:tr>
      <w:tr w:rsidR="003620F3">
        <w:tblPrEx>
          <w:tblCellMar>
            <w:top w:w="0" w:type="dxa"/>
            <w:bottom w:w="0" w:type="dxa"/>
          </w:tblCellMar>
        </w:tblPrEx>
        <w:trPr>
          <w:trHeight w:val="570"/>
        </w:trPr>
        <w:tc>
          <w:tcPr>
            <w:tcW w:w="5895"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UTILIZZO altre indennità   non regolate specificamente dal Contratto Integrativo sottoposto a certificazione</w:t>
            </w:r>
          </w:p>
        </w:tc>
        <w:tc>
          <w:tcPr>
            <w:tcW w:w="2325" w:type="dxa"/>
            <w:tcBorders>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129,00</w:t>
            </w:r>
          </w:p>
        </w:tc>
      </w:tr>
      <w:tr w:rsidR="003620F3">
        <w:tblPrEx>
          <w:tblCellMar>
            <w:top w:w="0" w:type="dxa"/>
            <w:bottom w:w="0" w:type="dxa"/>
          </w:tblCellMar>
        </w:tblPrEx>
        <w:trPr>
          <w:trHeight w:val="900"/>
        </w:trPr>
        <w:tc>
          <w:tcPr>
            <w:tcW w:w="5895" w:type="dxa"/>
            <w:tcBorders>
              <w:top w:val="single" w:sz="8" w:space="0" w:color="000000"/>
              <w:left w:val="single" w:sz="8" w:space="0" w:color="000000"/>
              <w:bottom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 w:val="26"/>
                <w:szCs w:val="26"/>
              </w:rPr>
            </w:pPr>
            <w:r>
              <w:rPr>
                <w:rFonts w:cs="Tahoma"/>
                <w:b/>
                <w:bCs/>
                <w:sz w:val="26"/>
                <w:szCs w:val="26"/>
              </w:rPr>
              <w:t>TOTALE RISORSE NON REGOLATE SPECIFICAMENTE DAL CONTRATTO INTEGRATIVO</w:t>
            </w:r>
          </w:p>
        </w:tc>
        <w:tc>
          <w:tcPr>
            <w:tcW w:w="2325" w:type="dxa"/>
            <w:tcBorders>
              <w:left w:val="single" w:sz="8" w:space="0" w:color="000000"/>
              <w:bottom w:val="single" w:sz="8" w:space="0" w:color="000000"/>
              <w:right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10.054,81</w:t>
            </w:r>
          </w:p>
        </w:tc>
      </w:tr>
    </w:tbl>
    <w:p w:rsidR="003620F3" w:rsidRDefault="003620F3">
      <w:pPr>
        <w:pStyle w:val="Standard"/>
        <w:ind w:left="1080" w:firstLine="0"/>
        <w:rPr>
          <w:szCs w:val="22"/>
        </w:rPr>
      </w:pPr>
    </w:p>
    <w:p w:rsidR="003620F3" w:rsidRDefault="003620F3">
      <w:pPr>
        <w:pStyle w:val="Standard"/>
        <w:ind w:left="1080" w:firstLine="0"/>
        <w:rPr>
          <w:szCs w:val="22"/>
        </w:rPr>
      </w:pPr>
    </w:p>
    <w:p w:rsidR="003620F3" w:rsidRDefault="002734FA">
      <w:pPr>
        <w:pStyle w:val="Standard"/>
        <w:ind w:left="1080" w:firstLine="0"/>
        <w:jc w:val="left"/>
        <w:rPr>
          <w:szCs w:val="22"/>
        </w:rPr>
      </w:pPr>
      <w:r>
        <w:rPr>
          <w:szCs w:val="22"/>
        </w:rPr>
        <w:t>CALCOLO RISORSE PER PROGRESSIONI ORIZZONTALI IN ESSERE:</w:t>
      </w:r>
    </w:p>
    <w:p w:rsidR="003620F3" w:rsidRDefault="003620F3">
      <w:pPr>
        <w:pStyle w:val="Standard"/>
        <w:ind w:left="1080" w:firstLine="0"/>
        <w:jc w:val="left"/>
        <w:rPr>
          <w:szCs w:val="22"/>
        </w:rPr>
      </w:pPr>
    </w:p>
    <w:p w:rsidR="003620F3" w:rsidRDefault="003620F3">
      <w:pPr>
        <w:pStyle w:val="Standard"/>
        <w:ind w:left="540" w:firstLine="27"/>
        <w:rPr>
          <w:szCs w:val="22"/>
        </w:rPr>
      </w:pPr>
    </w:p>
    <w:p w:rsidR="003620F3" w:rsidRDefault="002734FA">
      <w:pPr>
        <w:pStyle w:val="Standard"/>
        <w:ind w:left="1080" w:firstLine="0"/>
        <w:rPr>
          <w:szCs w:val="22"/>
        </w:rPr>
      </w:pPr>
      <w:r>
        <w:rPr>
          <w:szCs w:val="22"/>
        </w:rPr>
        <w:t>COSTO PER INDENNITA’ DI COMPARTO</w:t>
      </w:r>
    </w:p>
    <w:p w:rsidR="003620F3" w:rsidRDefault="003620F3">
      <w:pPr>
        <w:pStyle w:val="Standard"/>
        <w:ind w:left="540" w:firstLine="27"/>
        <w:rPr>
          <w:shd w:val="clear" w:color="auto" w:fill="FFFF00"/>
        </w:rPr>
      </w:pPr>
    </w:p>
    <w:p w:rsidR="003620F3" w:rsidRDefault="003620F3">
      <w:pPr>
        <w:pStyle w:val="Standard"/>
        <w:ind w:left="540" w:firstLine="27"/>
        <w:rPr>
          <w:shd w:val="clear" w:color="auto" w:fill="FFFF00"/>
        </w:rPr>
      </w:pPr>
    </w:p>
    <w:tbl>
      <w:tblPr>
        <w:tblW w:w="9972" w:type="dxa"/>
        <w:tblLayout w:type="fixed"/>
        <w:tblCellMar>
          <w:left w:w="10" w:type="dxa"/>
          <w:right w:w="10" w:type="dxa"/>
        </w:tblCellMar>
        <w:tblLook w:val="04A0" w:firstRow="1" w:lastRow="0" w:firstColumn="1" w:lastColumn="0" w:noHBand="0" w:noVBand="1"/>
      </w:tblPr>
      <w:tblGrid>
        <w:gridCol w:w="969"/>
        <w:gridCol w:w="967"/>
        <w:gridCol w:w="967"/>
        <w:gridCol w:w="1187"/>
        <w:gridCol w:w="1088"/>
        <w:gridCol w:w="1602"/>
        <w:gridCol w:w="1484"/>
        <w:gridCol w:w="1708"/>
      </w:tblGrid>
      <w:tr w:rsidR="003620F3">
        <w:tblPrEx>
          <w:tblCellMar>
            <w:top w:w="0" w:type="dxa"/>
            <w:bottom w:w="0" w:type="dxa"/>
          </w:tblCellMar>
        </w:tblPrEx>
        <w:trPr>
          <w:trHeight w:val="255"/>
        </w:trPr>
        <w:tc>
          <w:tcPr>
            <w:tcW w:w="969" w:type="dxa"/>
            <w:shd w:val="clear" w:color="auto" w:fill="FFFFFF"/>
            <w:tcMar>
              <w:top w:w="0" w:type="dxa"/>
              <w:left w:w="0" w:type="dxa"/>
              <w:bottom w:w="0" w:type="dxa"/>
              <w:right w:w="0" w:type="dxa"/>
            </w:tcMar>
            <w:vAlign w:val="center"/>
          </w:tcPr>
          <w:p w:rsidR="003620F3" w:rsidRDefault="003620F3">
            <w:pPr>
              <w:pStyle w:val="Standard"/>
              <w:ind w:firstLine="0"/>
              <w:textAlignment w:val="auto"/>
              <w:rPr>
                <w:rFonts w:ascii="Times New Roman" w:hAnsi="Times New Roman" w:cs="Arial"/>
                <w:b/>
                <w:bCs/>
                <w:color w:val="FF0000"/>
                <w:sz w:val="20"/>
                <w:szCs w:val="20"/>
                <w:lang w:eastAsia="it-IT"/>
              </w:rPr>
            </w:pPr>
          </w:p>
        </w:tc>
        <w:tc>
          <w:tcPr>
            <w:tcW w:w="967" w:type="dxa"/>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20"/>
                <w:szCs w:val="20"/>
                <w:lang w:eastAsia="it-IT"/>
              </w:rPr>
            </w:pPr>
            <w:r>
              <w:rPr>
                <w:rFonts w:ascii="Times New Roman" w:hAnsi="Times New Roman" w:cs="Arial"/>
                <w:sz w:val="20"/>
                <w:szCs w:val="20"/>
                <w:lang w:eastAsia="it-IT"/>
              </w:rPr>
              <w:t> </w:t>
            </w:r>
          </w:p>
        </w:tc>
        <w:tc>
          <w:tcPr>
            <w:tcW w:w="967" w:type="dxa"/>
            <w:shd w:val="clear" w:color="auto" w:fill="FFFFFF"/>
            <w:tcMar>
              <w:top w:w="0" w:type="dxa"/>
              <w:left w:w="0" w:type="dxa"/>
              <w:bottom w:w="0" w:type="dxa"/>
              <w:right w:w="0" w:type="dxa"/>
            </w:tcMar>
            <w:vAlign w:val="center"/>
          </w:tcPr>
          <w:p w:rsidR="003620F3" w:rsidRDefault="003620F3">
            <w:pPr>
              <w:pStyle w:val="Standard"/>
              <w:ind w:firstLine="0"/>
              <w:textAlignment w:val="auto"/>
              <w:rPr>
                <w:rFonts w:ascii="Times New Roman" w:hAnsi="Times New Roman" w:cs="Arial"/>
                <w:sz w:val="20"/>
                <w:szCs w:val="20"/>
                <w:lang w:eastAsia="it-IT"/>
              </w:rPr>
            </w:pPr>
          </w:p>
        </w:tc>
        <w:tc>
          <w:tcPr>
            <w:tcW w:w="1187" w:type="dxa"/>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20"/>
                <w:szCs w:val="20"/>
                <w:lang w:eastAsia="it-IT"/>
              </w:rPr>
            </w:pPr>
            <w:r>
              <w:rPr>
                <w:rFonts w:ascii="Times New Roman" w:hAnsi="Times New Roman" w:cs="Arial"/>
                <w:sz w:val="20"/>
                <w:szCs w:val="20"/>
                <w:lang w:eastAsia="it-IT"/>
              </w:rPr>
              <w:t> </w:t>
            </w:r>
          </w:p>
        </w:tc>
        <w:tc>
          <w:tcPr>
            <w:tcW w:w="1088" w:type="dxa"/>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20"/>
                <w:szCs w:val="20"/>
                <w:lang w:eastAsia="it-IT"/>
              </w:rPr>
            </w:pPr>
            <w:r>
              <w:rPr>
                <w:rFonts w:ascii="Times New Roman" w:hAnsi="Times New Roman" w:cs="Arial"/>
                <w:sz w:val="20"/>
                <w:szCs w:val="20"/>
                <w:lang w:eastAsia="it-IT"/>
              </w:rPr>
              <w:t> </w:t>
            </w:r>
          </w:p>
        </w:tc>
        <w:tc>
          <w:tcPr>
            <w:tcW w:w="1602" w:type="dxa"/>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20"/>
                <w:szCs w:val="20"/>
                <w:lang w:eastAsia="it-IT"/>
              </w:rPr>
            </w:pPr>
            <w:r>
              <w:rPr>
                <w:rFonts w:ascii="Times New Roman" w:hAnsi="Times New Roman" w:cs="Arial"/>
                <w:sz w:val="20"/>
                <w:szCs w:val="20"/>
                <w:lang w:eastAsia="it-IT"/>
              </w:rPr>
              <w:t> </w:t>
            </w:r>
          </w:p>
        </w:tc>
        <w:tc>
          <w:tcPr>
            <w:tcW w:w="1484" w:type="dxa"/>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20"/>
                <w:szCs w:val="20"/>
                <w:lang w:eastAsia="it-IT"/>
              </w:rPr>
            </w:pPr>
            <w:r>
              <w:rPr>
                <w:rFonts w:ascii="Times New Roman" w:hAnsi="Times New Roman" w:cs="Arial"/>
                <w:sz w:val="20"/>
                <w:szCs w:val="20"/>
                <w:lang w:eastAsia="it-IT"/>
              </w:rPr>
              <w:t> </w:t>
            </w:r>
          </w:p>
        </w:tc>
        <w:tc>
          <w:tcPr>
            <w:tcW w:w="1708" w:type="dxa"/>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20"/>
                <w:szCs w:val="20"/>
                <w:lang w:eastAsia="it-IT"/>
              </w:rPr>
            </w:pPr>
            <w:r>
              <w:rPr>
                <w:rFonts w:ascii="Times New Roman" w:hAnsi="Times New Roman" w:cs="Arial"/>
                <w:sz w:val="20"/>
                <w:szCs w:val="20"/>
                <w:lang w:eastAsia="it-IT"/>
              </w:rPr>
              <w:t> </w:t>
            </w:r>
          </w:p>
        </w:tc>
      </w:tr>
      <w:tr w:rsidR="003620F3">
        <w:tblPrEx>
          <w:tblCellMar>
            <w:top w:w="0" w:type="dxa"/>
            <w:bottom w:w="0" w:type="dxa"/>
          </w:tblCellMar>
        </w:tblPrEx>
        <w:trPr>
          <w:trHeight w:val="540"/>
        </w:trPr>
        <w:tc>
          <w:tcPr>
            <w:tcW w:w="9972" w:type="dxa"/>
            <w:gridSpan w:val="8"/>
            <w:tcBorders>
              <w:bottom w:val="single" w:sz="8"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20"/>
                <w:szCs w:val="20"/>
                <w:lang w:eastAsia="it-IT"/>
              </w:rPr>
            </w:pPr>
            <w:r>
              <w:rPr>
                <w:rFonts w:ascii="Times New Roman" w:hAnsi="Times New Roman" w:cs="Arial"/>
                <w:b/>
                <w:bCs/>
                <w:sz w:val="20"/>
                <w:szCs w:val="20"/>
                <w:lang w:eastAsia="it-IT"/>
              </w:rPr>
              <w:t>STRUMENTO DI CALCOLO INDENNITA' DI COMPARTO A CARICO DEL FONDO RISORSE DECENTRATE – annualità 2004</w:t>
            </w:r>
          </w:p>
        </w:tc>
      </w:tr>
      <w:tr w:rsidR="003620F3">
        <w:tblPrEx>
          <w:tblCellMar>
            <w:top w:w="0" w:type="dxa"/>
            <w:bottom w:w="0" w:type="dxa"/>
          </w:tblCellMar>
        </w:tblPrEx>
        <w:trPr>
          <w:trHeight w:val="255"/>
        </w:trPr>
        <w:tc>
          <w:tcPr>
            <w:tcW w:w="969" w:type="dxa"/>
            <w:vMerge w:val="restart"/>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CCNL 22/01/2004</w:t>
            </w:r>
          </w:p>
        </w:tc>
        <w:tc>
          <w:tcPr>
            <w:tcW w:w="7295" w:type="dxa"/>
            <w:gridSpan w:val="6"/>
            <w:tcBorders>
              <w:top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i/>
                <w:iCs/>
                <w:sz w:val="18"/>
                <w:szCs w:val="18"/>
                <w:u w:val="single"/>
                <w:lang w:eastAsia="it-IT"/>
              </w:rPr>
            </w:pPr>
            <w:r>
              <w:rPr>
                <w:rFonts w:ascii="Times New Roman" w:hAnsi="Times New Roman" w:cs="Arial"/>
                <w:b/>
                <w:bCs/>
                <w:i/>
                <w:iCs/>
                <w:sz w:val="18"/>
                <w:szCs w:val="18"/>
                <w:u w:val="single"/>
                <w:lang w:eastAsia="it-IT"/>
              </w:rPr>
              <w:t xml:space="preserve">Articolo 33, comma </w:t>
            </w:r>
            <w:r>
              <w:rPr>
                <w:rFonts w:ascii="Times New Roman" w:hAnsi="Times New Roman" w:cs="Arial"/>
                <w:b/>
                <w:bCs/>
                <w:i/>
                <w:iCs/>
                <w:sz w:val="18"/>
                <w:szCs w:val="18"/>
                <w:u w:val="single"/>
                <w:lang w:eastAsia="it-IT"/>
              </w:rPr>
              <w:t>4, lett. b) e c)</w:t>
            </w:r>
          </w:p>
        </w:tc>
        <w:tc>
          <w:tcPr>
            <w:tcW w:w="1708" w:type="dxa"/>
            <w:vMerge w:val="restart"/>
            <w:tcBorders>
              <w:left w:val="single" w:sz="4"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20"/>
                <w:szCs w:val="20"/>
                <w:lang w:eastAsia="it-IT"/>
              </w:rPr>
            </w:pPr>
            <w:r>
              <w:rPr>
                <w:rFonts w:ascii="Times New Roman" w:hAnsi="Times New Roman" w:cs="Arial"/>
                <w:b/>
                <w:bCs/>
                <w:sz w:val="20"/>
                <w:szCs w:val="20"/>
                <w:lang w:eastAsia="it-IT"/>
              </w:rPr>
              <w:t xml:space="preserve"> €                  3.318,12</w:t>
            </w:r>
          </w:p>
        </w:tc>
      </w:tr>
      <w:tr w:rsidR="003620F3">
        <w:tblPrEx>
          <w:tblCellMar>
            <w:top w:w="0" w:type="dxa"/>
            <w:bottom w:w="0" w:type="dxa"/>
          </w:tblCellMar>
        </w:tblPrEx>
        <w:trPr>
          <w:trHeight w:val="480"/>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7295" w:type="dxa"/>
            <w:gridSpan w:val="6"/>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pPr>
            <w:r>
              <w:rPr>
                <w:rFonts w:ascii="Times New Roman" w:hAnsi="Times New Roman" w:cs="Arial"/>
                <w:b/>
                <w:bCs/>
                <w:sz w:val="18"/>
                <w:szCs w:val="18"/>
                <w:lang w:eastAsia="it-IT"/>
              </w:rPr>
              <w:t xml:space="preserve">– </w:t>
            </w:r>
            <w:r>
              <w:rPr>
                <w:rFonts w:ascii="Times New Roman" w:hAnsi="Times New Roman" w:cs="Arial"/>
                <w:sz w:val="18"/>
                <w:szCs w:val="18"/>
                <w:lang w:eastAsia="it-IT"/>
              </w:rPr>
              <w:t xml:space="preserve">  Indennità di comparto limitatamente agli importi previsti dalle colonne 2 e 3 della tabella D allegata al CCNL 22/01/2004, determinati secondo la seguente tabella:</w:t>
            </w:r>
          </w:p>
        </w:tc>
        <w:tc>
          <w:tcPr>
            <w:tcW w:w="1708" w:type="dxa"/>
            <w:vMerge/>
            <w:tcBorders>
              <w:left w:val="single" w:sz="4"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r>
      <w:tr w:rsidR="003620F3">
        <w:tblPrEx>
          <w:tblCellMar>
            <w:top w:w="0" w:type="dxa"/>
            <w:bottom w:w="0" w:type="dxa"/>
          </w:tblCellMar>
        </w:tblPrEx>
        <w:trPr>
          <w:trHeight w:val="255"/>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7295" w:type="dxa"/>
            <w:gridSpan w:val="6"/>
            <w:tcBorders>
              <w:top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w:t>
            </w:r>
          </w:p>
        </w:tc>
        <w:tc>
          <w:tcPr>
            <w:tcW w:w="1708" w:type="dxa"/>
            <w:vMerge/>
            <w:tcBorders>
              <w:left w:val="single" w:sz="4"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r>
      <w:tr w:rsidR="003620F3">
        <w:tblPrEx>
          <w:tblCellMar>
            <w:top w:w="0" w:type="dxa"/>
            <w:bottom w:w="0" w:type="dxa"/>
          </w:tblCellMar>
        </w:tblPrEx>
        <w:trPr>
          <w:trHeight w:val="675"/>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Categoria</w:t>
            </w: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N. dipendenti</w:t>
            </w:r>
          </w:p>
        </w:tc>
        <w:tc>
          <w:tcPr>
            <w:tcW w:w="118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 xml:space="preserve">Quota </w:t>
            </w:r>
            <w:r>
              <w:rPr>
                <w:rFonts w:ascii="Times New Roman" w:hAnsi="Times New Roman" w:cs="Arial"/>
                <w:b/>
                <w:bCs/>
                <w:sz w:val="16"/>
                <w:szCs w:val="16"/>
                <w:lang w:eastAsia="it-IT"/>
              </w:rPr>
              <w:t>dal 1.12.2002</w:t>
            </w:r>
          </w:p>
        </w:tc>
        <w:tc>
          <w:tcPr>
            <w:tcW w:w="1088"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quota dal 31.12.2003</w:t>
            </w:r>
          </w:p>
        </w:tc>
        <w:tc>
          <w:tcPr>
            <w:tcW w:w="1602" w:type="dxa"/>
            <w:tcBorders>
              <w:bottom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Quota dal 01.01.2004 (col.  3 + 4)</w:t>
            </w:r>
          </w:p>
        </w:tc>
        <w:tc>
          <w:tcPr>
            <w:tcW w:w="1484"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Totale annuale a carico fondo (col. 2 X col. 5x 12)</w:t>
            </w:r>
          </w:p>
        </w:tc>
        <w:tc>
          <w:tcPr>
            <w:tcW w:w="1708" w:type="dxa"/>
            <w:vMerge/>
            <w:tcBorders>
              <w:left w:val="single" w:sz="4"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r>
      <w:tr w:rsidR="003620F3">
        <w:tblPrEx>
          <w:tblCellMar>
            <w:top w:w="0" w:type="dxa"/>
            <w:bottom w:w="0" w:type="dxa"/>
          </w:tblCellMar>
        </w:tblPrEx>
        <w:trPr>
          <w:trHeight w:val="135"/>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1</w:t>
            </w: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2</w:t>
            </w:r>
          </w:p>
        </w:tc>
        <w:tc>
          <w:tcPr>
            <w:tcW w:w="118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3</w:t>
            </w:r>
          </w:p>
        </w:tc>
        <w:tc>
          <w:tcPr>
            <w:tcW w:w="1088"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4</w:t>
            </w:r>
          </w:p>
        </w:tc>
        <w:tc>
          <w:tcPr>
            <w:tcW w:w="1602" w:type="dxa"/>
            <w:tcBorders>
              <w:bottom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5</w:t>
            </w:r>
          </w:p>
        </w:tc>
        <w:tc>
          <w:tcPr>
            <w:tcW w:w="1484"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jc w:val="center"/>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6</w:t>
            </w:r>
          </w:p>
        </w:tc>
        <w:tc>
          <w:tcPr>
            <w:tcW w:w="1708" w:type="dxa"/>
            <w:tcBorders>
              <w:left w:val="single" w:sz="4"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620F3" w:rsidRDefault="003620F3">
            <w:pPr>
              <w:pStyle w:val="Standard"/>
              <w:ind w:firstLine="0"/>
              <w:jc w:val="left"/>
              <w:textAlignment w:val="auto"/>
              <w:rPr>
                <w:rFonts w:ascii="Times New Roman" w:hAnsi="Times New Roman" w:cs="Arial"/>
                <w:b/>
                <w:bCs/>
                <w:sz w:val="20"/>
                <w:szCs w:val="20"/>
                <w:lang w:eastAsia="it-IT"/>
              </w:rPr>
            </w:pPr>
          </w:p>
        </w:tc>
      </w:tr>
      <w:tr w:rsidR="003620F3">
        <w:tblPrEx>
          <w:tblCellMar>
            <w:top w:w="0" w:type="dxa"/>
            <w:bottom w:w="0" w:type="dxa"/>
          </w:tblCellMar>
        </w:tblPrEx>
        <w:trPr>
          <w:trHeight w:val="390"/>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D</w:t>
            </w: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3</w:t>
            </w:r>
          </w:p>
        </w:tc>
        <w:tc>
          <w:tcPr>
            <w:tcW w:w="118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7,95</w:t>
            </w:r>
          </w:p>
        </w:tc>
        <w:tc>
          <w:tcPr>
            <w:tcW w:w="1088"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39,00</w:t>
            </w:r>
          </w:p>
        </w:tc>
        <w:tc>
          <w:tcPr>
            <w:tcW w:w="1602" w:type="dxa"/>
            <w:tcBorders>
              <w:bottom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46,95</w:t>
            </w:r>
          </w:p>
        </w:tc>
        <w:tc>
          <w:tcPr>
            <w:tcW w:w="1484"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1.690,20</w:t>
            </w:r>
          </w:p>
        </w:tc>
        <w:tc>
          <w:tcPr>
            <w:tcW w:w="1708" w:type="dxa"/>
            <w:tcBorders>
              <w:left w:val="single" w:sz="4"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620F3" w:rsidRDefault="003620F3">
            <w:pPr>
              <w:pStyle w:val="Standard"/>
              <w:ind w:firstLine="0"/>
              <w:jc w:val="left"/>
              <w:textAlignment w:val="auto"/>
              <w:rPr>
                <w:rFonts w:ascii="Times New Roman" w:hAnsi="Times New Roman" w:cs="Arial"/>
                <w:b/>
                <w:bCs/>
                <w:sz w:val="20"/>
                <w:szCs w:val="20"/>
                <w:lang w:eastAsia="it-IT"/>
              </w:rPr>
            </w:pPr>
          </w:p>
        </w:tc>
      </w:tr>
      <w:tr w:rsidR="003620F3">
        <w:tblPrEx>
          <w:tblCellMar>
            <w:top w:w="0" w:type="dxa"/>
            <w:bottom w:w="0" w:type="dxa"/>
          </w:tblCellMar>
        </w:tblPrEx>
        <w:trPr>
          <w:trHeight w:val="480"/>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C</w:t>
            </w: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1</w:t>
            </w:r>
          </w:p>
        </w:tc>
        <w:tc>
          <w:tcPr>
            <w:tcW w:w="118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w:t>
            </w:r>
            <w:r>
              <w:rPr>
                <w:rFonts w:ascii="Times New Roman" w:hAnsi="Times New Roman" w:cs="Arial"/>
                <w:sz w:val="16"/>
                <w:szCs w:val="16"/>
                <w:lang w:eastAsia="it-IT"/>
              </w:rPr>
              <w:t xml:space="preserve">              7,01</w:t>
            </w:r>
          </w:p>
        </w:tc>
        <w:tc>
          <w:tcPr>
            <w:tcW w:w="1088"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34,45</w:t>
            </w:r>
          </w:p>
        </w:tc>
        <w:tc>
          <w:tcPr>
            <w:tcW w:w="1602" w:type="dxa"/>
            <w:tcBorders>
              <w:bottom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41,46</w:t>
            </w:r>
          </w:p>
        </w:tc>
        <w:tc>
          <w:tcPr>
            <w:tcW w:w="1484"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497,52</w:t>
            </w:r>
          </w:p>
        </w:tc>
        <w:tc>
          <w:tcPr>
            <w:tcW w:w="1708" w:type="dxa"/>
            <w:tcBorders>
              <w:left w:val="single" w:sz="4"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620F3" w:rsidRDefault="003620F3">
            <w:pPr>
              <w:pStyle w:val="Standard"/>
              <w:ind w:firstLine="0"/>
              <w:jc w:val="left"/>
              <w:textAlignment w:val="auto"/>
              <w:rPr>
                <w:rFonts w:ascii="Times New Roman" w:hAnsi="Times New Roman" w:cs="Arial"/>
                <w:b/>
                <w:bCs/>
                <w:sz w:val="20"/>
                <w:szCs w:val="20"/>
                <w:lang w:eastAsia="it-IT"/>
              </w:rPr>
            </w:pPr>
          </w:p>
        </w:tc>
      </w:tr>
      <w:tr w:rsidR="003620F3">
        <w:tblPrEx>
          <w:tblCellMar>
            <w:top w:w="0" w:type="dxa"/>
            <w:bottom w:w="0" w:type="dxa"/>
          </w:tblCellMar>
        </w:tblPrEx>
        <w:trPr>
          <w:trHeight w:val="540"/>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B</w:t>
            </w: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1</w:t>
            </w:r>
          </w:p>
        </w:tc>
        <w:tc>
          <w:tcPr>
            <w:tcW w:w="118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6,00</w:t>
            </w:r>
          </w:p>
        </w:tc>
        <w:tc>
          <w:tcPr>
            <w:tcW w:w="1088"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29,58</w:t>
            </w:r>
          </w:p>
        </w:tc>
        <w:tc>
          <w:tcPr>
            <w:tcW w:w="1602" w:type="dxa"/>
            <w:tcBorders>
              <w:bottom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35,58</w:t>
            </w:r>
          </w:p>
        </w:tc>
        <w:tc>
          <w:tcPr>
            <w:tcW w:w="1484"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426,96</w:t>
            </w:r>
          </w:p>
        </w:tc>
        <w:tc>
          <w:tcPr>
            <w:tcW w:w="1708" w:type="dxa"/>
            <w:tcBorders>
              <w:left w:val="single" w:sz="4"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620F3" w:rsidRDefault="003620F3">
            <w:pPr>
              <w:pStyle w:val="Standard"/>
              <w:ind w:firstLine="0"/>
              <w:jc w:val="left"/>
              <w:textAlignment w:val="auto"/>
              <w:rPr>
                <w:rFonts w:ascii="Times New Roman" w:hAnsi="Times New Roman" w:cs="Arial"/>
                <w:b/>
                <w:bCs/>
                <w:sz w:val="20"/>
                <w:szCs w:val="20"/>
                <w:lang w:eastAsia="it-IT"/>
              </w:rPr>
            </w:pPr>
          </w:p>
        </w:tc>
      </w:tr>
      <w:tr w:rsidR="003620F3">
        <w:tblPrEx>
          <w:tblCellMar>
            <w:top w:w="0" w:type="dxa"/>
            <w:bottom w:w="0" w:type="dxa"/>
          </w:tblCellMar>
        </w:tblPrEx>
        <w:trPr>
          <w:trHeight w:val="510"/>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A</w:t>
            </w:r>
          </w:p>
        </w:tc>
        <w:tc>
          <w:tcPr>
            <w:tcW w:w="96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2</w:t>
            </w:r>
          </w:p>
        </w:tc>
        <w:tc>
          <w:tcPr>
            <w:tcW w:w="1187"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4,93</w:t>
            </w:r>
          </w:p>
        </w:tc>
        <w:tc>
          <w:tcPr>
            <w:tcW w:w="1088" w:type="dxa"/>
            <w:tcBorders>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24,38</w:t>
            </w:r>
          </w:p>
        </w:tc>
        <w:tc>
          <w:tcPr>
            <w:tcW w:w="1602" w:type="dxa"/>
            <w:tcBorders>
              <w:bottom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w:t>
            </w:r>
            <w:r>
              <w:rPr>
                <w:rFonts w:ascii="Times New Roman" w:hAnsi="Times New Roman" w:cs="Arial"/>
                <w:sz w:val="16"/>
                <w:szCs w:val="16"/>
                <w:lang w:eastAsia="it-IT"/>
              </w:rPr>
              <w:t xml:space="preserve">                      29,31</w:t>
            </w:r>
          </w:p>
        </w:tc>
        <w:tc>
          <w:tcPr>
            <w:tcW w:w="1484"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sz w:val="16"/>
                <w:szCs w:val="16"/>
                <w:lang w:eastAsia="it-IT"/>
              </w:rPr>
            </w:pPr>
            <w:r>
              <w:rPr>
                <w:rFonts w:ascii="Times New Roman" w:hAnsi="Times New Roman" w:cs="Arial"/>
                <w:sz w:val="16"/>
                <w:szCs w:val="16"/>
                <w:lang w:eastAsia="it-IT"/>
              </w:rPr>
              <w:t xml:space="preserve"> €                  703,44</w:t>
            </w:r>
          </w:p>
        </w:tc>
        <w:tc>
          <w:tcPr>
            <w:tcW w:w="1708" w:type="dxa"/>
            <w:tcBorders>
              <w:left w:val="single" w:sz="4"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620F3" w:rsidRDefault="003620F3">
            <w:pPr>
              <w:pStyle w:val="Standard"/>
              <w:ind w:firstLine="0"/>
              <w:jc w:val="left"/>
              <w:textAlignment w:val="auto"/>
              <w:rPr>
                <w:rFonts w:ascii="Times New Roman" w:hAnsi="Times New Roman" w:cs="Arial"/>
                <w:b/>
                <w:bCs/>
                <w:sz w:val="20"/>
                <w:szCs w:val="20"/>
                <w:lang w:eastAsia="it-IT"/>
              </w:rPr>
            </w:pPr>
          </w:p>
        </w:tc>
      </w:tr>
      <w:tr w:rsidR="003620F3">
        <w:tblPrEx>
          <w:tblCellMar>
            <w:top w:w="0" w:type="dxa"/>
            <w:bottom w:w="0" w:type="dxa"/>
          </w:tblCellMar>
        </w:tblPrEx>
        <w:trPr>
          <w:trHeight w:val="435"/>
        </w:trPr>
        <w:tc>
          <w:tcPr>
            <w:tcW w:w="969" w:type="dxa"/>
            <w:vMerge/>
            <w:tcBorders>
              <w:left w:val="single" w:sz="8"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3620F3">
            <w:pPr>
              <w:suppressAutoHyphens w:val="0"/>
              <w:rPr>
                <w:rFonts w:hint="eastAsia"/>
              </w:rPr>
            </w:pPr>
          </w:p>
        </w:tc>
        <w:tc>
          <w:tcPr>
            <w:tcW w:w="5811" w:type="dxa"/>
            <w:gridSpan w:val="5"/>
            <w:tcBorders>
              <w:top w:val="single" w:sz="4" w:space="0" w:color="000001"/>
              <w:bottom w:val="single" w:sz="8"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Totale da prelevare dal fondo ex art. 32, comma 1</w:t>
            </w:r>
          </w:p>
        </w:tc>
        <w:tc>
          <w:tcPr>
            <w:tcW w:w="1484" w:type="dxa"/>
            <w:tcBorders>
              <w:left w:val="single" w:sz="4" w:space="0" w:color="000001"/>
              <w:bottom w:val="single" w:sz="8" w:space="0" w:color="000001"/>
              <w:right w:val="single" w:sz="4" w:space="0" w:color="000001"/>
            </w:tcBorders>
            <w:shd w:val="clear" w:color="auto" w:fill="FFFFFF"/>
            <w:tcMar>
              <w:top w:w="0" w:type="dxa"/>
              <w:left w:w="0" w:type="dxa"/>
              <w:bottom w:w="0" w:type="dxa"/>
              <w:right w:w="0" w:type="dxa"/>
            </w:tcMar>
            <w:vAlign w:val="center"/>
          </w:tcPr>
          <w:p w:rsidR="003620F3" w:rsidRDefault="002734FA">
            <w:pPr>
              <w:pStyle w:val="Standard"/>
              <w:ind w:firstLine="0"/>
              <w:textAlignment w:val="auto"/>
              <w:rPr>
                <w:rFonts w:ascii="Times New Roman" w:hAnsi="Times New Roman" w:cs="Arial"/>
                <w:b/>
                <w:bCs/>
                <w:sz w:val="16"/>
                <w:szCs w:val="16"/>
                <w:lang w:eastAsia="it-IT"/>
              </w:rPr>
            </w:pPr>
            <w:r>
              <w:rPr>
                <w:rFonts w:ascii="Times New Roman" w:hAnsi="Times New Roman" w:cs="Arial"/>
                <w:b/>
                <w:bCs/>
                <w:sz w:val="16"/>
                <w:szCs w:val="16"/>
                <w:lang w:eastAsia="it-IT"/>
              </w:rPr>
              <w:t xml:space="preserve"> €                3.318,12</w:t>
            </w:r>
          </w:p>
        </w:tc>
        <w:tc>
          <w:tcPr>
            <w:tcW w:w="1708" w:type="dxa"/>
            <w:shd w:val="clear" w:color="auto" w:fill="auto"/>
            <w:tcMar>
              <w:top w:w="0" w:type="dxa"/>
              <w:left w:w="10" w:type="dxa"/>
              <w:bottom w:w="0" w:type="dxa"/>
              <w:right w:w="10" w:type="dxa"/>
            </w:tcMar>
          </w:tcPr>
          <w:p w:rsidR="003620F3" w:rsidRDefault="003620F3">
            <w:pPr>
              <w:pStyle w:val="Standard"/>
            </w:pPr>
          </w:p>
        </w:tc>
      </w:tr>
    </w:tbl>
    <w:p w:rsidR="003620F3" w:rsidRDefault="003620F3">
      <w:pPr>
        <w:pStyle w:val="Standard"/>
        <w:ind w:left="540" w:firstLine="27"/>
        <w:rPr>
          <w:shd w:val="clear" w:color="auto" w:fill="FFFF00"/>
        </w:rPr>
      </w:pPr>
    </w:p>
    <w:p w:rsidR="003620F3" w:rsidRDefault="003620F3">
      <w:pPr>
        <w:pStyle w:val="Standard"/>
        <w:ind w:left="1080" w:firstLine="0"/>
        <w:rPr>
          <w:szCs w:val="22"/>
        </w:rPr>
      </w:pPr>
    </w:p>
    <w:p w:rsidR="003620F3" w:rsidRDefault="003620F3">
      <w:pPr>
        <w:pStyle w:val="Standard"/>
        <w:ind w:left="1080" w:firstLine="0"/>
        <w:rPr>
          <w:szCs w:val="22"/>
        </w:rPr>
      </w:pPr>
    </w:p>
    <w:p w:rsidR="003620F3" w:rsidRDefault="002734FA">
      <w:pPr>
        <w:pStyle w:val="Titolo3"/>
      </w:pPr>
      <w:r>
        <w:t>Sezione II - Destinazioni specificamente regolate dal Contratto Integrativo</w:t>
      </w:r>
    </w:p>
    <w:tbl>
      <w:tblPr>
        <w:tblW w:w="8160" w:type="dxa"/>
        <w:tblInd w:w="1071" w:type="dxa"/>
        <w:tblLayout w:type="fixed"/>
        <w:tblCellMar>
          <w:left w:w="10" w:type="dxa"/>
          <w:right w:w="10" w:type="dxa"/>
        </w:tblCellMar>
        <w:tblLook w:val="04A0" w:firstRow="1" w:lastRow="0" w:firstColumn="1" w:lastColumn="0" w:noHBand="0" w:noVBand="1"/>
      </w:tblPr>
      <w:tblGrid>
        <w:gridCol w:w="5835"/>
        <w:gridCol w:w="2325"/>
      </w:tblGrid>
      <w:tr w:rsidR="003620F3">
        <w:tblPrEx>
          <w:tblCellMar>
            <w:top w:w="0" w:type="dxa"/>
            <w:bottom w:w="0" w:type="dxa"/>
          </w:tblCellMar>
        </w:tblPrEx>
        <w:trPr>
          <w:trHeight w:val="780"/>
        </w:trPr>
        <w:tc>
          <w:tcPr>
            <w:tcW w:w="5835"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 w:val="26"/>
                <w:szCs w:val="26"/>
              </w:rPr>
            </w:pPr>
            <w:r>
              <w:rPr>
                <w:rFonts w:cs="Tahoma"/>
                <w:b/>
                <w:bCs/>
                <w:sz w:val="26"/>
                <w:szCs w:val="26"/>
              </w:rPr>
              <w:t>DESTINAZIONI REGOLATE SPECIFICAMENTE DAL</w:t>
            </w:r>
            <w:r>
              <w:rPr>
                <w:rFonts w:cs="Tahoma"/>
                <w:b/>
                <w:bCs/>
                <w:sz w:val="26"/>
                <w:szCs w:val="26"/>
              </w:rPr>
              <w:t xml:space="preserve"> CONTRATTO INTEGRATIVO</w:t>
            </w:r>
          </w:p>
        </w:tc>
        <w:tc>
          <w:tcPr>
            <w:tcW w:w="2325" w:type="dxa"/>
            <w:tcBorders>
              <w:left w:val="single" w:sz="8" w:space="0" w:color="000000"/>
              <w:bottom w:val="single" w:sz="8" w:space="0" w:color="000000"/>
              <w:right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szCs w:val="22"/>
              </w:rPr>
            </w:pPr>
            <w:r>
              <w:rPr>
                <w:szCs w:val="22"/>
              </w:rPr>
              <w:t>2016</w:t>
            </w:r>
          </w:p>
        </w:tc>
      </w:tr>
      <w:tr w:rsidR="003620F3">
        <w:tblPrEx>
          <w:tblCellMar>
            <w:top w:w="0" w:type="dxa"/>
            <w:bottom w:w="0" w:type="dxa"/>
          </w:tblCellMar>
        </w:tblPrEx>
        <w:trPr>
          <w:trHeight w:val="525"/>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rPr>
                <w:rFonts w:cs="Tahoma"/>
                <w:szCs w:val="22"/>
              </w:rPr>
            </w:pPr>
            <w:r>
              <w:rPr>
                <w:rFonts w:cs="Tahoma"/>
                <w:szCs w:val="22"/>
              </w:rPr>
              <w:t xml:space="preserve">rischio  specificatamente contrattato nel CCDI dell'anno    </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330,00</w:t>
            </w:r>
          </w:p>
        </w:tc>
      </w:tr>
      <w:tr w:rsidR="003620F3">
        <w:tblPrEx>
          <w:tblCellMar>
            <w:top w:w="0" w:type="dxa"/>
            <w:bottom w:w="0" w:type="dxa"/>
          </w:tblCellMar>
        </w:tblPrEx>
        <w:trPr>
          <w:trHeight w:val="525"/>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pPr>
            <w:r>
              <w:rPr>
                <w:rFonts w:cs="Tahoma"/>
                <w:szCs w:val="22"/>
              </w:rPr>
              <w:t>maneggio valori specificatamente contrattato nel CCDI dell'anno</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273,98</w:t>
            </w:r>
          </w:p>
        </w:tc>
      </w:tr>
      <w:tr w:rsidR="003620F3">
        <w:tblPrEx>
          <w:tblCellMar>
            <w:top w:w="0" w:type="dxa"/>
            <w:bottom w:w="0" w:type="dxa"/>
          </w:tblCellMar>
        </w:tblPrEx>
        <w:trPr>
          <w:trHeight w:val="525"/>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rPr>
                <w:rFonts w:cs="Tahoma"/>
                <w:szCs w:val="22"/>
              </w:rPr>
            </w:pPr>
            <w:r>
              <w:rPr>
                <w:rFonts w:cs="Tahoma"/>
                <w:szCs w:val="22"/>
              </w:rPr>
              <w:t>reperibilità  specificatamente contrattata nel CCDI dell'anno</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1.400,00</w:t>
            </w:r>
          </w:p>
        </w:tc>
      </w:tr>
      <w:tr w:rsidR="003620F3">
        <w:tblPrEx>
          <w:tblCellMar>
            <w:top w:w="0" w:type="dxa"/>
            <w:bottom w:w="0" w:type="dxa"/>
          </w:tblCellMar>
        </w:tblPrEx>
        <w:trPr>
          <w:trHeight w:val="525"/>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rPr>
                <w:rFonts w:cs="Tahoma"/>
                <w:szCs w:val="22"/>
              </w:rPr>
            </w:pPr>
            <w:r>
              <w:rPr>
                <w:rFonts w:cs="Tahoma"/>
                <w:szCs w:val="22"/>
              </w:rPr>
              <w:t xml:space="preserve">disagio </w:t>
            </w:r>
            <w:r>
              <w:rPr>
                <w:rFonts w:cs="Tahoma"/>
                <w:szCs w:val="22"/>
              </w:rPr>
              <w:t>specificatamente contrattato nel CCDI dell'anno</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360,00</w:t>
            </w:r>
          </w:p>
        </w:tc>
      </w:tr>
      <w:tr w:rsidR="003620F3">
        <w:tblPrEx>
          <w:tblCellMar>
            <w:top w:w="0" w:type="dxa"/>
            <w:bottom w:w="0" w:type="dxa"/>
          </w:tblCellMar>
        </w:tblPrEx>
        <w:trPr>
          <w:trHeight w:val="780"/>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rPr>
                <w:rFonts w:cs="Tahoma"/>
                <w:szCs w:val="22"/>
              </w:rPr>
            </w:pPr>
            <w:r>
              <w:rPr>
                <w:rFonts w:cs="Tahoma"/>
                <w:szCs w:val="22"/>
              </w:rPr>
              <w:t>indennità particolari posizioni contrattate nel CCDI dell'anno (art. 17 comma 2 lett. f CCNL 1.4.1999)</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2.300,00</w:t>
            </w:r>
          </w:p>
        </w:tc>
      </w:tr>
      <w:tr w:rsidR="003620F3">
        <w:tblPrEx>
          <w:tblCellMar>
            <w:top w:w="0" w:type="dxa"/>
            <w:bottom w:w="0" w:type="dxa"/>
          </w:tblCellMar>
        </w:tblPrEx>
        <w:trPr>
          <w:trHeight w:val="780"/>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rPr>
                <w:rFonts w:cs="Tahoma"/>
                <w:szCs w:val="22"/>
              </w:rPr>
            </w:pPr>
            <w:r>
              <w:rPr>
                <w:rFonts w:cs="Tahoma"/>
                <w:szCs w:val="22"/>
              </w:rPr>
              <w:t xml:space="preserve">indennità specifiche responsabilità contrattate nel CCDI dell'anno (art 17 comma 2 </w:t>
            </w:r>
            <w:r>
              <w:rPr>
                <w:rFonts w:cs="Tahoma"/>
                <w:szCs w:val="22"/>
              </w:rPr>
              <w:t>lett.i CCNL 1.4.1999)</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300,00</w:t>
            </w:r>
          </w:p>
        </w:tc>
      </w:tr>
      <w:tr w:rsidR="003620F3">
        <w:tblPrEx>
          <w:tblCellMar>
            <w:top w:w="0" w:type="dxa"/>
            <w:bottom w:w="0" w:type="dxa"/>
          </w:tblCellMar>
        </w:tblPrEx>
        <w:trPr>
          <w:trHeight w:val="525"/>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jc w:val="left"/>
              <w:rPr>
                <w:rFonts w:cs="Tahoma"/>
                <w:szCs w:val="22"/>
              </w:rPr>
            </w:pPr>
            <w:r>
              <w:rPr>
                <w:rFonts w:cs="Tahoma"/>
                <w:szCs w:val="22"/>
              </w:rPr>
              <w:t>produttività individuale contrattate nel CCDI dell'anno</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7.590,04</w:t>
            </w:r>
          </w:p>
        </w:tc>
      </w:tr>
      <w:tr w:rsidR="003620F3">
        <w:tblPrEx>
          <w:tblCellMar>
            <w:top w:w="0" w:type="dxa"/>
            <w:bottom w:w="0" w:type="dxa"/>
          </w:tblCellMar>
        </w:tblPrEx>
        <w:trPr>
          <w:trHeight w:val="793"/>
        </w:trPr>
        <w:tc>
          <w:tcPr>
            <w:tcW w:w="5835" w:type="dxa"/>
            <w:tcBorders>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left"/>
            </w:pPr>
            <w:r>
              <w:rPr>
                <w:rFonts w:cs="Tahoma"/>
                <w:szCs w:val="22"/>
              </w:rPr>
              <w:t>Lettera k) primo comma art. 15</w:t>
            </w:r>
            <w:r>
              <w:rPr>
                <w:rFonts w:cs="Tahoma"/>
                <w:szCs w:val="22"/>
              </w:rPr>
              <w:br/>
            </w:r>
            <w:r>
              <w:rPr>
                <w:rFonts w:cs="Tahoma"/>
                <w:szCs w:val="22"/>
              </w:rPr>
              <w:t xml:space="preserve">PROGETTAZIONE </w:t>
            </w:r>
            <w:r>
              <w:rPr>
                <w:rFonts w:cs="Tahoma"/>
                <w:i/>
                <w:iCs/>
                <w:szCs w:val="22"/>
              </w:rPr>
              <w:t xml:space="preserve">RIF Art. 92 comma 5 e 6 D.LGS. 12 APRILE 2006, N. 16  </w:t>
            </w: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10.000,00</w:t>
            </w:r>
          </w:p>
        </w:tc>
      </w:tr>
      <w:tr w:rsidR="003620F3">
        <w:tblPrEx>
          <w:tblCellMar>
            <w:top w:w="0" w:type="dxa"/>
            <w:bottom w:w="0" w:type="dxa"/>
          </w:tblCellMar>
        </w:tblPrEx>
        <w:trPr>
          <w:trHeight w:val="525"/>
        </w:trPr>
        <w:tc>
          <w:tcPr>
            <w:tcW w:w="5835" w:type="dxa"/>
            <w:tcBorders>
              <w:top w:val="single" w:sz="8" w:space="0" w:color="000000"/>
              <w:lef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left"/>
              <w:rPr>
                <w:rFonts w:cs="Tahoma"/>
                <w:szCs w:val="22"/>
              </w:rPr>
            </w:pPr>
            <w:r>
              <w:rPr>
                <w:rFonts w:cs="Tahoma"/>
                <w:szCs w:val="22"/>
              </w:rPr>
              <w:t>Altri utilizzi Lettera k) primo comma art. 15</w:t>
            </w:r>
          </w:p>
          <w:p w:rsidR="003620F3" w:rsidRDefault="003620F3">
            <w:pPr>
              <w:pStyle w:val="Standard"/>
              <w:spacing w:after="0"/>
              <w:ind w:firstLine="0"/>
              <w:jc w:val="left"/>
              <w:rPr>
                <w:rFonts w:cs="Tahoma"/>
                <w:szCs w:val="22"/>
              </w:rPr>
            </w:pPr>
          </w:p>
        </w:tc>
        <w:tc>
          <w:tcPr>
            <w:tcW w:w="2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747,11</w:t>
            </w:r>
          </w:p>
        </w:tc>
      </w:tr>
      <w:tr w:rsidR="003620F3">
        <w:tblPrEx>
          <w:tblCellMar>
            <w:top w:w="0" w:type="dxa"/>
            <w:bottom w:w="0" w:type="dxa"/>
          </w:tblCellMar>
        </w:tblPrEx>
        <w:trPr>
          <w:trHeight w:val="765"/>
        </w:trPr>
        <w:tc>
          <w:tcPr>
            <w:tcW w:w="5835" w:type="dxa"/>
            <w:tcBorders>
              <w:top w:val="single" w:sz="8" w:space="0" w:color="000000"/>
              <w:left w:val="single" w:sz="8" w:space="0" w:color="000000"/>
              <w:bottom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RISORSE REGOLATE SPECIFICAMENTE DAL CONTRATTO INTEGRATIVO</w:t>
            </w:r>
          </w:p>
        </w:tc>
        <w:tc>
          <w:tcPr>
            <w:tcW w:w="2325" w:type="dxa"/>
            <w:tcBorders>
              <w:bottom w:val="single" w:sz="8" w:space="0" w:color="000000"/>
              <w:right w:val="single" w:sz="8" w:space="0" w:color="000000"/>
            </w:tcBorders>
            <w:shd w:val="clear" w:color="auto" w:fill="CCFFFF"/>
            <w:tcMar>
              <w:top w:w="0" w:type="dxa"/>
              <w:left w:w="70" w:type="dxa"/>
              <w:bottom w:w="0" w:type="dxa"/>
              <w:right w:w="70" w:type="dxa"/>
            </w:tcMar>
            <w:vAlign w:val="center"/>
          </w:tcPr>
          <w:p w:rsidR="003620F3" w:rsidRDefault="002734FA">
            <w:pPr>
              <w:pStyle w:val="Standard"/>
            </w:pPr>
            <w:r>
              <w:t>23.301,13</w:t>
            </w:r>
          </w:p>
        </w:tc>
      </w:tr>
    </w:tbl>
    <w:p w:rsidR="003620F3" w:rsidRDefault="003620F3">
      <w:pPr>
        <w:pStyle w:val="Standard"/>
        <w:ind w:left="1080" w:firstLine="0"/>
        <w:rPr>
          <w:szCs w:val="22"/>
        </w:rPr>
      </w:pPr>
    </w:p>
    <w:p w:rsidR="003620F3" w:rsidRDefault="003620F3">
      <w:pPr>
        <w:pStyle w:val="Standard"/>
        <w:ind w:left="1080" w:firstLine="0"/>
        <w:rPr>
          <w:szCs w:val="22"/>
        </w:rPr>
      </w:pPr>
    </w:p>
    <w:p w:rsidR="003620F3" w:rsidRDefault="002734FA">
      <w:pPr>
        <w:pStyle w:val="Titolo3"/>
      </w:pPr>
      <w:r>
        <w:t>Sezione III - (eventuali) Destinazioni ancora da regolare</w:t>
      </w:r>
    </w:p>
    <w:p w:rsidR="003620F3" w:rsidRDefault="002734FA">
      <w:pPr>
        <w:pStyle w:val="Standard"/>
        <w:ind w:firstLine="0"/>
      </w:pPr>
      <w:r>
        <w:t>Le risorse ancora da contrattare ammontano ad € 0,01</w:t>
      </w:r>
    </w:p>
    <w:p w:rsidR="003620F3" w:rsidRDefault="002734FA">
      <w:pPr>
        <w:pStyle w:val="Titolo3"/>
      </w:pPr>
      <w:r>
        <w:t xml:space="preserve">Sezione IV - Sintesi della definizione delle poste di </w:t>
      </w:r>
      <w:r>
        <w:t>destinazione del Fondo per la contrattazione integrativa sottoposto a certificazione</w:t>
      </w:r>
    </w:p>
    <w:p w:rsidR="003620F3" w:rsidRDefault="003620F3">
      <w:pPr>
        <w:pStyle w:val="PuntoElencoLettere"/>
        <w:numPr>
          <w:ilvl w:val="0"/>
          <w:numId w:val="0"/>
        </w:numPr>
        <w:tabs>
          <w:tab w:val="clear" w:pos="-873"/>
          <w:tab w:val="left" w:pos="2268"/>
        </w:tabs>
        <w:ind w:left="1134" w:hanging="360"/>
        <w:jc w:val="center"/>
        <w:rPr>
          <w:b/>
          <w:szCs w:val="22"/>
          <w:shd w:val="clear" w:color="auto" w:fill="FFFF00"/>
          <w:lang w:eastAsia="en-US"/>
        </w:rPr>
      </w:pPr>
    </w:p>
    <w:tbl>
      <w:tblPr>
        <w:tblW w:w="8505" w:type="dxa"/>
        <w:tblInd w:w="546" w:type="dxa"/>
        <w:tblLayout w:type="fixed"/>
        <w:tblCellMar>
          <w:left w:w="10" w:type="dxa"/>
          <w:right w:w="10" w:type="dxa"/>
        </w:tblCellMar>
        <w:tblLook w:val="04A0" w:firstRow="1" w:lastRow="0" w:firstColumn="1" w:lastColumn="0" w:noHBand="0" w:noVBand="1"/>
      </w:tblPr>
      <w:tblGrid>
        <w:gridCol w:w="5040"/>
        <w:gridCol w:w="2100"/>
        <w:gridCol w:w="1365"/>
      </w:tblGrid>
      <w:tr w:rsidR="003620F3">
        <w:tblPrEx>
          <w:tblCellMar>
            <w:top w:w="0" w:type="dxa"/>
            <w:bottom w:w="0" w:type="dxa"/>
          </w:tblCellMar>
        </w:tblPrEx>
        <w:trPr>
          <w:trHeight w:val="1080"/>
        </w:trPr>
        <w:tc>
          <w:tcPr>
            <w:tcW w:w="504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RISORSE non regolate specificamente dal Contratto Integrativo (A)</w:t>
            </w:r>
          </w:p>
        </w:tc>
        <w:tc>
          <w:tcPr>
            <w:tcW w:w="2100" w:type="dxa"/>
            <w:tcBorders>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szCs w:val="22"/>
              </w:rPr>
            </w:pPr>
            <w:r>
              <w:rPr>
                <w:rFonts w:cs="Tahoma"/>
                <w:szCs w:val="22"/>
              </w:rPr>
              <w:t>10.054,81</w:t>
            </w:r>
          </w:p>
        </w:tc>
        <w:tc>
          <w:tcPr>
            <w:tcW w:w="136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620F3" w:rsidRDefault="003620F3">
            <w:pPr>
              <w:pStyle w:val="Standard"/>
              <w:snapToGrid w:val="0"/>
              <w:spacing w:after="0"/>
              <w:ind w:firstLine="0"/>
              <w:jc w:val="center"/>
              <w:rPr>
                <w:rFonts w:cs="Tahoma"/>
                <w:b/>
                <w:bCs/>
                <w:szCs w:val="22"/>
              </w:rPr>
            </w:pPr>
          </w:p>
          <w:p w:rsidR="003620F3" w:rsidRDefault="003620F3">
            <w:pPr>
              <w:pStyle w:val="Standard"/>
              <w:spacing w:after="0"/>
              <w:ind w:firstLine="0"/>
              <w:jc w:val="center"/>
              <w:rPr>
                <w:rFonts w:cs="Tahoma"/>
                <w:b/>
                <w:bCs/>
                <w:szCs w:val="22"/>
              </w:rPr>
            </w:pPr>
          </w:p>
          <w:p w:rsidR="003620F3" w:rsidRDefault="002734FA">
            <w:pPr>
              <w:pStyle w:val="Standard"/>
              <w:spacing w:after="0"/>
              <w:ind w:firstLine="0"/>
              <w:jc w:val="center"/>
              <w:rPr>
                <w:rFonts w:cs="Tahoma"/>
                <w:b/>
                <w:bCs/>
                <w:szCs w:val="22"/>
              </w:rPr>
            </w:pPr>
            <w:r>
              <w:rPr>
                <w:rFonts w:cs="Tahoma"/>
                <w:b/>
                <w:bCs/>
                <w:szCs w:val="22"/>
              </w:rPr>
              <w:t>+</w:t>
            </w:r>
          </w:p>
        </w:tc>
      </w:tr>
      <w:tr w:rsidR="003620F3">
        <w:tblPrEx>
          <w:tblCellMar>
            <w:top w:w="0" w:type="dxa"/>
            <w:bottom w:w="0" w:type="dxa"/>
          </w:tblCellMar>
        </w:tblPrEx>
        <w:trPr>
          <w:trHeight w:val="1020"/>
        </w:trPr>
        <w:tc>
          <w:tcPr>
            <w:tcW w:w="504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lastRenderedPageBreak/>
              <w:t>TOTALE RISORSE regolate specificamente dal Contratto Integrativo (B)</w:t>
            </w:r>
          </w:p>
        </w:tc>
        <w:tc>
          <w:tcPr>
            <w:tcW w:w="2100" w:type="dxa"/>
            <w:tcBorders>
              <w:left w:val="single" w:sz="8" w:space="0" w:color="000000"/>
              <w:bottom w:val="single" w:sz="8" w:space="0" w:color="000000"/>
            </w:tcBorders>
            <w:shd w:val="clear" w:color="auto" w:fill="FFFFFF"/>
            <w:tcMar>
              <w:top w:w="0" w:type="dxa"/>
              <w:left w:w="70" w:type="dxa"/>
              <w:bottom w:w="0" w:type="dxa"/>
              <w:right w:w="70" w:type="dxa"/>
            </w:tcMar>
            <w:vAlign w:val="center"/>
          </w:tcPr>
          <w:p w:rsidR="003620F3" w:rsidRDefault="002734FA">
            <w:pPr>
              <w:pStyle w:val="Standard"/>
              <w:snapToGrid w:val="0"/>
              <w:spacing w:after="0"/>
              <w:ind w:firstLine="0"/>
              <w:jc w:val="center"/>
              <w:rPr>
                <w:szCs w:val="22"/>
              </w:rPr>
            </w:pPr>
            <w:r>
              <w:rPr>
                <w:szCs w:val="22"/>
              </w:rPr>
              <w:t>23.301,13</w:t>
            </w:r>
          </w:p>
        </w:tc>
        <w:tc>
          <w:tcPr>
            <w:tcW w:w="136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620F3" w:rsidRDefault="003620F3">
            <w:pPr>
              <w:pStyle w:val="Standard"/>
              <w:snapToGrid w:val="0"/>
              <w:spacing w:after="0"/>
              <w:ind w:firstLine="0"/>
              <w:jc w:val="center"/>
              <w:rPr>
                <w:rFonts w:cs="Tahoma"/>
                <w:b/>
                <w:bCs/>
                <w:szCs w:val="22"/>
              </w:rPr>
            </w:pPr>
          </w:p>
          <w:p w:rsidR="003620F3" w:rsidRDefault="003620F3">
            <w:pPr>
              <w:pStyle w:val="Standard"/>
              <w:spacing w:after="0"/>
              <w:ind w:firstLine="0"/>
              <w:jc w:val="center"/>
              <w:rPr>
                <w:rFonts w:cs="Tahoma"/>
                <w:b/>
                <w:bCs/>
                <w:szCs w:val="22"/>
              </w:rPr>
            </w:pPr>
          </w:p>
          <w:p w:rsidR="003620F3" w:rsidRDefault="002734FA">
            <w:pPr>
              <w:pStyle w:val="Standard"/>
              <w:spacing w:after="0"/>
              <w:ind w:firstLine="0"/>
              <w:jc w:val="center"/>
              <w:rPr>
                <w:rFonts w:cs="Tahoma"/>
                <w:b/>
                <w:bCs/>
                <w:szCs w:val="22"/>
              </w:rPr>
            </w:pPr>
            <w:r>
              <w:rPr>
                <w:rFonts w:cs="Tahoma"/>
                <w:b/>
                <w:bCs/>
                <w:szCs w:val="22"/>
              </w:rPr>
              <w:t>=</w:t>
            </w:r>
          </w:p>
        </w:tc>
      </w:tr>
      <w:tr w:rsidR="003620F3">
        <w:tblPrEx>
          <w:tblCellMar>
            <w:top w:w="0" w:type="dxa"/>
            <w:bottom w:w="0" w:type="dxa"/>
          </w:tblCellMar>
        </w:tblPrEx>
        <w:trPr>
          <w:trHeight w:val="916"/>
        </w:trPr>
        <w:tc>
          <w:tcPr>
            <w:tcW w:w="5040" w:type="dxa"/>
            <w:tcBorders>
              <w:top w:val="single" w:sz="8" w:space="0" w:color="000000"/>
              <w:left w:val="single" w:sz="8" w:space="0" w:color="000000"/>
              <w:bottom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 w:val="28"/>
                <w:szCs w:val="28"/>
              </w:rPr>
            </w:pPr>
            <w:r>
              <w:rPr>
                <w:rFonts w:cs="Tahoma"/>
                <w:b/>
                <w:bCs/>
                <w:sz w:val="28"/>
                <w:szCs w:val="28"/>
              </w:rPr>
              <w:t>TOTALE UTILIZZO</w:t>
            </w:r>
          </w:p>
          <w:p w:rsidR="003620F3" w:rsidRDefault="002734FA">
            <w:pPr>
              <w:pStyle w:val="Standard"/>
              <w:spacing w:after="0"/>
              <w:ind w:firstLine="0"/>
              <w:jc w:val="center"/>
              <w:rPr>
                <w:rFonts w:cs="Tahoma"/>
                <w:b/>
                <w:bCs/>
                <w:sz w:val="28"/>
                <w:szCs w:val="28"/>
              </w:rPr>
            </w:pPr>
            <w:r>
              <w:rPr>
                <w:rFonts w:cs="Tahoma"/>
                <w:b/>
                <w:bCs/>
                <w:sz w:val="28"/>
                <w:szCs w:val="28"/>
              </w:rPr>
              <w:t>(A+B)</w:t>
            </w:r>
          </w:p>
        </w:tc>
        <w:tc>
          <w:tcPr>
            <w:tcW w:w="2100" w:type="dxa"/>
            <w:tcBorders>
              <w:left w:val="single" w:sz="8" w:space="0" w:color="000000"/>
              <w:bottom w:val="single" w:sz="8" w:space="0" w:color="000000"/>
            </w:tcBorders>
            <w:shd w:val="clear" w:color="auto" w:fill="CCFFFF"/>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lang w:val="en-GB"/>
              </w:rPr>
            </w:pPr>
            <w:r>
              <w:rPr>
                <w:rFonts w:cs="Tahoma"/>
                <w:b/>
                <w:bCs/>
                <w:szCs w:val="22"/>
                <w:lang w:val="en-GB"/>
              </w:rPr>
              <w:t>33.355,94</w:t>
            </w:r>
          </w:p>
        </w:tc>
        <w:tc>
          <w:tcPr>
            <w:tcW w:w="1365" w:type="dxa"/>
            <w:tcBorders>
              <w:left w:val="single" w:sz="8" w:space="0" w:color="000000"/>
              <w:bottom w:val="single" w:sz="8" w:space="0" w:color="000000"/>
              <w:right w:val="single" w:sz="8" w:space="0" w:color="000000"/>
            </w:tcBorders>
            <w:shd w:val="clear" w:color="auto" w:fill="CCFFFF"/>
            <w:tcMar>
              <w:top w:w="0" w:type="dxa"/>
              <w:left w:w="70" w:type="dxa"/>
              <w:bottom w:w="0" w:type="dxa"/>
              <w:right w:w="70" w:type="dxa"/>
            </w:tcMar>
          </w:tcPr>
          <w:p w:rsidR="003620F3" w:rsidRDefault="003620F3">
            <w:pPr>
              <w:pStyle w:val="Standard"/>
              <w:snapToGrid w:val="0"/>
              <w:spacing w:after="0"/>
              <w:ind w:firstLine="0"/>
              <w:jc w:val="center"/>
              <w:rPr>
                <w:rFonts w:cs="Tahoma"/>
                <w:b/>
                <w:bCs/>
                <w:szCs w:val="22"/>
              </w:rPr>
            </w:pPr>
          </w:p>
        </w:tc>
      </w:tr>
      <w:tr w:rsidR="003620F3">
        <w:tblPrEx>
          <w:tblCellMar>
            <w:top w:w="0" w:type="dxa"/>
            <w:bottom w:w="0" w:type="dxa"/>
          </w:tblCellMar>
        </w:tblPrEx>
        <w:trPr>
          <w:trHeight w:val="916"/>
        </w:trPr>
        <w:tc>
          <w:tcPr>
            <w:tcW w:w="5040" w:type="dxa"/>
            <w:tcBorders>
              <w:top w:val="single" w:sz="8" w:space="0" w:color="000000"/>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TOTALE DESTINAZIONI ANCORA DA REGOLARE [TOTALE FONDO – (A+B)]</w:t>
            </w:r>
          </w:p>
        </w:tc>
        <w:tc>
          <w:tcPr>
            <w:tcW w:w="2100" w:type="dxa"/>
            <w:tcBorders>
              <w:left w:val="single" w:sz="8" w:space="0" w:color="000000"/>
              <w:bottom w:val="single" w:sz="8" w:space="0" w:color="000000"/>
            </w:tcBorders>
            <w:shd w:val="clear" w:color="auto" w:fill="EEEEEE"/>
            <w:tcMar>
              <w:top w:w="0" w:type="dxa"/>
              <w:left w:w="70" w:type="dxa"/>
              <w:bottom w:w="0" w:type="dxa"/>
              <w:right w:w="70" w:type="dxa"/>
            </w:tcMar>
            <w:vAlign w:val="center"/>
          </w:tcPr>
          <w:p w:rsidR="003620F3" w:rsidRDefault="002734FA">
            <w:pPr>
              <w:pStyle w:val="Standard"/>
              <w:snapToGrid w:val="0"/>
              <w:spacing w:after="0"/>
              <w:ind w:firstLine="0"/>
              <w:jc w:val="center"/>
            </w:pPr>
            <w:r>
              <w:t>0,01</w:t>
            </w:r>
          </w:p>
        </w:tc>
        <w:tc>
          <w:tcPr>
            <w:tcW w:w="1365" w:type="dxa"/>
            <w:tcBorders>
              <w:left w:val="single" w:sz="8" w:space="0" w:color="000000"/>
              <w:bottom w:val="single" w:sz="8" w:space="0" w:color="000000"/>
              <w:right w:val="single" w:sz="8" w:space="0" w:color="000000"/>
            </w:tcBorders>
            <w:shd w:val="clear" w:color="auto" w:fill="EEEEEE"/>
            <w:tcMar>
              <w:top w:w="0" w:type="dxa"/>
              <w:left w:w="70" w:type="dxa"/>
              <w:bottom w:w="0" w:type="dxa"/>
              <w:right w:w="70" w:type="dxa"/>
            </w:tcMar>
          </w:tcPr>
          <w:p w:rsidR="003620F3" w:rsidRDefault="003620F3">
            <w:pPr>
              <w:pStyle w:val="Standard"/>
              <w:snapToGrid w:val="0"/>
              <w:spacing w:after="0"/>
              <w:ind w:firstLine="0"/>
              <w:jc w:val="center"/>
            </w:pPr>
          </w:p>
        </w:tc>
      </w:tr>
    </w:tbl>
    <w:p w:rsidR="003620F3" w:rsidRDefault="003620F3">
      <w:pPr>
        <w:pStyle w:val="Standard"/>
        <w:rPr>
          <w:szCs w:val="22"/>
          <w:lang w:val="en-GB"/>
        </w:rPr>
      </w:pPr>
    </w:p>
    <w:p w:rsidR="003620F3" w:rsidRDefault="003620F3">
      <w:pPr>
        <w:pStyle w:val="Standard"/>
        <w:rPr>
          <w:szCs w:val="22"/>
          <w:lang w:val="en-GB"/>
        </w:rPr>
      </w:pPr>
    </w:p>
    <w:p w:rsidR="003620F3" w:rsidRDefault="002734FA">
      <w:pPr>
        <w:pStyle w:val="Standard"/>
        <w:rPr>
          <w:rFonts w:cs="Arial"/>
          <w:i/>
          <w:iCs/>
          <w:color w:val="FFFFFF"/>
          <w:sz w:val="28"/>
          <w:shd w:val="clear" w:color="auto" w:fill="457FAF"/>
        </w:rPr>
      </w:pPr>
      <w:r>
        <w:rPr>
          <w:rFonts w:cs="Arial"/>
          <w:i/>
          <w:iCs/>
          <w:color w:val="FFFFFF"/>
          <w:sz w:val="28"/>
          <w:shd w:val="clear" w:color="auto" w:fill="457FAF"/>
        </w:rPr>
        <w:t>Sezione V Destinazioni temporaneamente allocate all'esterno del fondo</w:t>
      </w:r>
    </w:p>
    <w:p w:rsidR="003620F3" w:rsidRDefault="002734FA">
      <w:pPr>
        <w:pStyle w:val="Standard"/>
        <w:rPr>
          <w:szCs w:val="22"/>
          <w:shd w:val="clear" w:color="auto" w:fill="FFFFFF"/>
        </w:rPr>
      </w:pPr>
      <w:r>
        <w:rPr>
          <w:szCs w:val="22"/>
          <w:shd w:val="clear" w:color="auto" w:fill="FFFFFF"/>
        </w:rPr>
        <w:t>Parte non pertinente allo specifico accordo illustrato.</w:t>
      </w:r>
    </w:p>
    <w:p w:rsidR="003620F3" w:rsidRDefault="002734FA">
      <w:pPr>
        <w:pStyle w:val="Standard"/>
        <w:rPr>
          <w:szCs w:val="22"/>
          <w:shd w:val="clear" w:color="auto" w:fill="FFFFFF"/>
        </w:rPr>
      </w:pPr>
      <w:r>
        <w:rPr>
          <w:szCs w:val="22"/>
          <w:shd w:val="clear" w:color="auto" w:fill="FFFFFF"/>
        </w:rPr>
        <w:t>Si precisa che ai sensi</w:t>
      </w:r>
      <w:r>
        <w:rPr>
          <w:szCs w:val="22"/>
          <w:shd w:val="clear" w:color="auto" w:fill="FFFFFF"/>
        </w:rPr>
        <w:t xml:space="preserve"> dell'Art. 33 del CCNL 22.1.2004 l'indennità di comparto prevede una parte di risorse a carico del bilancio (cosiddetta quota a) e una parte a carico delle risorse decentrate (cosiddette quote b e c). Gli importi di cui alle lettere b e c ad un totale di €</w:t>
      </w:r>
      <w:r>
        <w:rPr>
          <w:szCs w:val="22"/>
          <w:shd w:val="clear" w:color="auto" w:fill="FFFFFF"/>
        </w:rPr>
        <w:t xml:space="preserve"> 3.318,12 .</w:t>
      </w:r>
    </w:p>
    <w:p w:rsidR="003620F3" w:rsidRDefault="002734FA">
      <w:pPr>
        <w:pStyle w:val="Standard"/>
      </w:pPr>
      <w:r>
        <w:rPr>
          <w:color w:val="000000"/>
          <w:szCs w:val="22"/>
          <w:shd w:val="clear" w:color="auto" w:fill="FFFFFF"/>
        </w:rPr>
        <w:t xml:space="preserve">Per quanto riguarda le PEO in godimento, vengono inseriti a carico del fondo, gli importi rivalutati </w:t>
      </w:r>
      <w:r>
        <w:rPr>
          <w:color w:val="000000"/>
          <w:szCs w:val="22"/>
          <w:lang w:eastAsia="it-IT"/>
        </w:rPr>
        <w:t xml:space="preserve"> dai vari contratti, quindi come valore aggiornato agli ultimi incrementi stipendiali. Per poter finanziare dal fondo il costo rivalutato delle</w:t>
      </w:r>
      <w:r>
        <w:rPr>
          <w:color w:val="000000"/>
          <w:szCs w:val="22"/>
          <w:lang w:eastAsia="it-IT"/>
        </w:rPr>
        <w:t xml:space="preserve"> PEO, la Dichiarazione Congiunta n. 14 del CCNL 22.1.2004 e quella successiva N. 4 del CCNL 9.5.2006  hanno previsto una integrazione del fondo, calcolata in € 1.249,01  con le modalità previste dal parere ARAN RAL 1725</w:t>
      </w:r>
    </w:p>
    <w:p w:rsidR="003620F3" w:rsidRDefault="003620F3">
      <w:pPr>
        <w:pStyle w:val="Standard"/>
        <w:rPr>
          <w:rFonts w:ascii="Tahoma" w:hAnsi="Tahoma" w:cs="Tahoma"/>
          <w:color w:val="FF6600"/>
          <w:szCs w:val="22"/>
        </w:rPr>
      </w:pPr>
    </w:p>
    <w:p w:rsidR="003620F3" w:rsidRDefault="002734FA">
      <w:pPr>
        <w:pStyle w:val="Standard"/>
        <w:rPr>
          <w:rFonts w:cs="Arial"/>
          <w:i/>
          <w:iCs/>
          <w:color w:val="FFFFFF"/>
          <w:sz w:val="28"/>
          <w:shd w:val="clear" w:color="auto" w:fill="457FAF"/>
        </w:rPr>
      </w:pPr>
      <w:r>
        <w:rPr>
          <w:rFonts w:cs="Arial"/>
          <w:i/>
          <w:iCs/>
          <w:color w:val="FFFFFF"/>
          <w:sz w:val="28"/>
          <w:shd w:val="clear" w:color="auto" w:fill="457FAF"/>
        </w:rPr>
        <w:t>Sezione VI - Attestazione motivata,</w:t>
      </w:r>
      <w:r>
        <w:rPr>
          <w:rFonts w:cs="Arial"/>
          <w:i/>
          <w:iCs/>
          <w:color w:val="FFFFFF"/>
          <w:sz w:val="28"/>
          <w:shd w:val="clear" w:color="auto" w:fill="457FAF"/>
        </w:rPr>
        <w:t xml:space="preserve"> dal punto di vista tecnico-finanziario, del rispetto di vincoli di carattere generale</w:t>
      </w:r>
    </w:p>
    <w:p w:rsidR="003620F3" w:rsidRDefault="002734FA">
      <w:pPr>
        <w:pStyle w:val="Standard"/>
        <w:rPr>
          <w:szCs w:val="22"/>
          <w:shd w:val="clear" w:color="auto" w:fill="C0C0C0"/>
        </w:rPr>
      </w:pPr>
      <w:r>
        <w:rPr>
          <w:szCs w:val="22"/>
          <w:shd w:val="clear" w:color="auto" w:fill="C0C0C0"/>
        </w:rPr>
        <w:t>La presente relazione, in ossequio a quanto disposto dall’art. 40 c. 3 sexies del D.Lgs 165/2001, così come modificato dal D. Lgs 150/2009 persegue l’obiettivo di fornir</w:t>
      </w:r>
      <w:r>
        <w:rPr>
          <w:szCs w:val="22"/>
          <w:shd w:val="clear" w:color="auto" w:fill="C0C0C0"/>
        </w:rPr>
        <w:t>e una puntuale e dettagliata relazione, dal punto di vista finanziario, circa le risorse economiche costituenti il fondo per le risorse decentrate e, dal punto di vista tecnico, per illustrare le scelte effettuate e la coerenza di queste con le direttive d</w:t>
      </w:r>
      <w:r>
        <w:rPr>
          <w:szCs w:val="22"/>
          <w:shd w:val="clear" w:color="auto" w:fill="C0C0C0"/>
        </w:rPr>
        <w:t>ell’Amministrazione.</w:t>
      </w:r>
    </w:p>
    <w:p w:rsidR="003620F3" w:rsidRDefault="002734FA">
      <w:pPr>
        <w:pStyle w:val="Standard"/>
        <w:rPr>
          <w:szCs w:val="22"/>
          <w:shd w:val="clear" w:color="auto" w:fill="C0C0C0"/>
        </w:rPr>
      </w:pPr>
      <w:r>
        <w:rPr>
          <w:szCs w:val="22"/>
          <w:shd w:val="clear" w:color="auto" w:fill="C0C0C0"/>
        </w:rPr>
        <w:t>Con la presente si attesta:</w:t>
      </w:r>
    </w:p>
    <w:p w:rsidR="003620F3" w:rsidRDefault="002734FA">
      <w:pPr>
        <w:pStyle w:val="Standard"/>
        <w:rPr>
          <w:szCs w:val="22"/>
          <w:shd w:val="clear" w:color="auto" w:fill="C0C0C0"/>
        </w:rPr>
      </w:pPr>
      <w:r>
        <w:rPr>
          <w:szCs w:val="22"/>
          <w:shd w:val="clear" w:color="auto" w:fill="C0C0C0"/>
        </w:rPr>
        <w:t xml:space="preserve">a) Il rispetto della copertura delle risorse destinate a finanziare indennità di carattere certo e </w:t>
      </w:r>
      <w:r>
        <w:rPr>
          <w:szCs w:val="22"/>
          <w:shd w:val="clear" w:color="auto" w:fill="C0C0C0"/>
        </w:rPr>
        <w:tab/>
        <w:t>continuativo con risorse stabili e consolidate.</w:t>
      </w:r>
    </w:p>
    <w:p w:rsidR="003620F3" w:rsidRDefault="002734FA">
      <w:pPr>
        <w:pStyle w:val="Standard"/>
        <w:rPr>
          <w:szCs w:val="22"/>
          <w:shd w:val="clear" w:color="auto" w:fill="C0C0C0"/>
        </w:rPr>
      </w:pPr>
      <w:r>
        <w:rPr>
          <w:szCs w:val="22"/>
          <w:shd w:val="clear" w:color="auto" w:fill="C0C0C0"/>
        </w:rPr>
        <w:t>Come evidenziato dalle precedenti sezioni, le indennità fis</w:t>
      </w:r>
      <w:r>
        <w:rPr>
          <w:szCs w:val="22"/>
          <w:shd w:val="clear" w:color="auto" w:fill="C0C0C0"/>
        </w:rPr>
        <w:t>se di carattere certo e continuativo (PEO, Indennità di comparto) pari a € 9.925,81 sono completamente finanziate dalle risorse stabili pari ad € 15.210,70.</w:t>
      </w:r>
    </w:p>
    <w:p w:rsidR="003620F3" w:rsidRDefault="002734FA">
      <w:pPr>
        <w:pStyle w:val="Standard"/>
        <w:rPr>
          <w:szCs w:val="22"/>
          <w:shd w:val="clear" w:color="auto" w:fill="C0C0C0"/>
        </w:rPr>
      </w:pPr>
      <w:r>
        <w:rPr>
          <w:szCs w:val="22"/>
          <w:shd w:val="clear" w:color="auto" w:fill="C0C0C0"/>
        </w:rPr>
        <w:t>b) Il rispetto del principio di attribuzione selettiva degli incentivi economici.</w:t>
      </w:r>
    </w:p>
    <w:p w:rsidR="003620F3" w:rsidRDefault="002734FA">
      <w:pPr>
        <w:pStyle w:val="Standard"/>
        <w:rPr>
          <w:szCs w:val="22"/>
          <w:shd w:val="clear" w:color="auto" w:fill="C0C0C0"/>
        </w:rPr>
      </w:pPr>
      <w:r>
        <w:rPr>
          <w:szCs w:val="22"/>
          <w:shd w:val="clear" w:color="auto" w:fill="C0C0C0"/>
        </w:rPr>
        <w:t>Le previsioni son</w:t>
      </w:r>
      <w:r>
        <w:rPr>
          <w:szCs w:val="22"/>
          <w:shd w:val="clear" w:color="auto" w:fill="C0C0C0"/>
        </w:rPr>
        <w:t>o coerenti con le disposizioni in materia di meritocrazia e premialità in quanto viene applicato il il Sistema di Valutazione e Misurazione della Performance, adeguato al D.lgs 150/2009 e all’art. 37 del CCNL 22.1.2004.</w:t>
      </w:r>
    </w:p>
    <w:p w:rsidR="003620F3" w:rsidRDefault="002734FA">
      <w:pPr>
        <w:pStyle w:val="Standard"/>
        <w:rPr>
          <w:szCs w:val="22"/>
          <w:shd w:val="clear" w:color="auto" w:fill="C0C0C0"/>
        </w:rPr>
      </w:pPr>
      <w:r>
        <w:rPr>
          <w:szCs w:val="22"/>
          <w:shd w:val="clear" w:color="auto" w:fill="C0C0C0"/>
        </w:rPr>
        <w:t xml:space="preserve">Le risorse destinate alla </w:t>
      </w:r>
      <w:r>
        <w:rPr>
          <w:szCs w:val="22"/>
          <w:shd w:val="clear" w:color="auto" w:fill="C0C0C0"/>
        </w:rPr>
        <w:t>produttività saranno riconosciute attraverso la predisposizione di obiettivi strategici ed operativi dell’Amministrazione (contenuti nel Piano Performance), al fine di contribuire al raggiungimento dei risultati previsti negli strumenti di pianificazione e</w:t>
      </w:r>
      <w:r>
        <w:rPr>
          <w:szCs w:val="22"/>
          <w:shd w:val="clear" w:color="auto" w:fill="C0C0C0"/>
        </w:rPr>
        <w:t xml:space="preserve"> gestione.</w:t>
      </w:r>
    </w:p>
    <w:p w:rsidR="003620F3" w:rsidRDefault="002734FA">
      <w:pPr>
        <w:pStyle w:val="Standard"/>
        <w:rPr>
          <w:szCs w:val="22"/>
          <w:shd w:val="clear" w:color="auto" w:fill="C0C0C0"/>
        </w:rPr>
      </w:pPr>
      <w:r>
        <w:rPr>
          <w:szCs w:val="22"/>
          <w:shd w:val="clear" w:color="auto" w:fill="C0C0C0"/>
        </w:rPr>
        <w:t>c)  Il rispetto del principio di selettività delle progressioni di carriera.</w:t>
      </w:r>
    </w:p>
    <w:p w:rsidR="003620F3" w:rsidRDefault="002734FA">
      <w:pPr>
        <w:pStyle w:val="Standard"/>
      </w:pPr>
      <w:r>
        <w:rPr>
          <w:szCs w:val="22"/>
          <w:shd w:val="clear" w:color="auto" w:fill="C0C0C0"/>
        </w:rPr>
        <w:t>In particolare, si evidenzia che per l’anno in corso non è prevista l’effettuazione di progressioni orizzontali</w:t>
      </w:r>
    </w:p>
    <w:p w:rsidR="003620F3" w:rsidRDefault="003620F3">
      <w:pPr>
        <w:pStyle w:val="Standard"/>
        <w:rPr>
          <w:szCs w:val="28"/>
          <w:shd w:val="clear" w:color="auto" w:fill="FFFFFF"/>
        </w:rPr>
      </w:pPr>
    </w:p>
    <w:p w:rsidR="003620F3" w:rsidRDefault="002734FA">
      <w:pPr>
        <w:pStyle w:val="Standard"/>
        <w:rPr>
          <w:rFonts w:cs="Arial"/>
          <w:b/>
          <w:i/>
          <w:iCs/>
          <w:color w:val="31849B"/>
          <w:sz w:val="28"/>
          <w:szCs w:val="28"/>
          <w:shd w:val="clear" w:color="auto" w:fill="FFFFFF"/>
        </w:rPr>
      </w:pPr>
      <w:r>
        <w:rPr>
          <w:rFonts w:cs="Arial"/>
          <w:b/>
          <w:i/>
          <w:iCs/>
          <w:color w:val="31849B"/>
          <w:sz w:val="28"/>
          <w:szCs w:val="28"/>
          <w:shd w:val="clear" w:color="auto" w:fill="FFFFFF"/>
        </w:rPr>
        <w:t xml:space="preserve">Modulo III - Schema generale riassuntivo del Fondo per </w:t>
      </w:r>
      <w:r>
        <w:rPr>
          <w:rFonts w:cs="Arial"/>
          <w:b/>
          <w:i/>
          <w:iCs/>
          <w:color w:val="31849B"/>
          <w:sz w:val="28"/>
          <w:szCs w:val="28"/>
          <w:shd w:val="clear" w:color="auto" w:fill="FFFFFF"/>
        </w:rPr>
        <w:t>la contrattazione integrativa e confronto con il corrispondente Fondo certificato dell’anno precedente</w:t>
      </w:r>
    </w:p>
    <w:p w:rsidR="003620F3" w:rsidRDefault="003620F3">
      <w:pPr>
        <w:pStyle w:val="PuntoElencoLettere"/>
        <w:numPr>
          <w:ilvl w:val="0"/>
          <w:numId w:val="0"/>
        </w:numPr>
        <w:tabs>
          <w:tab w:val="clear" w:pos="-873"/>
          <w:tab w:val="left" w:pos="2268"/>
        </w:tabs>
        <w:ind w:left="1134" w:hanging="360"/>
        <w:jc w:val="center"/>
        <w:rPr>
          <w:b/>
          <w:szCs w:val="22"/>
          <w:shd w:val="clear" w:color="auto" w:fill="FFFF00"/>
          <w:lang w:eastAsia="en-US"/>
        </w:rPr>
      </w:pPr>
    </w:p>
    <w:p w:rsidR="003620F3" w:rsidRDefault="003620F3">
      <w:pPr>
        <w:pStyle w:val="Standard"/>
        <w:ind w:left="1080" w:firstLine="0"/>
      </w:pPr>
    </w:p>
    <w:p w:rsidR="003620F3" w:rsidRDefault="003620F3">
      <w:pPr>
        <w:pStyle w:val="Standard"/>
        <w:ind w:left="1080" w:firstLine="0"/>
      </w:pPr>
    </w:p>
    <w:p w:rsidR="003620F3" w:rsidRDefault="002734FA">
      <w:pPr>
        <w:pStyle w:val="Standard"/>
        <w:ind w:left="1080" w:firstLine="0"/>
      </w:pPr>
      <w:r>
        <w:rPr>
          <w:rStyle w:val="StrongEmphasis"/>
          <w:b w:val="0"/>
          <w:bCs w:val="0"/>
          <w:szCs w:val="22"/>
        </w:rPr>
        <w:t>In dettaglio:</w:t>
      </w:r>
    </w:p>
    <w:tbl>
      <w:tblPr>
        <w:tblW w:w="8565" w:type="dxa"/>
        <w:tblInd w:w="171" w:type="dxa"/>
        <w:tblLayout w:type="fixed"/>
        <w:tblCellMar>
          <w:left w:w="10" w:type="dxa"/>
          <w:right w:w="10" w:type="dxa"/>
        </w:tblCellMar>
        <w:tblLook w:val="04A0" w:firstRow="1" w:lastRow="0" w:firstColumn="1" w:lastColumn="0" w:noHBand="0" w:noVBand="1"/>
      </w:tblPr>
      <w:tblGrid>
        <w:gridCol w:w="2168"/>
        <w:gridCol w:w="2289"/>
        <w:gridCol w:w="2393"/>
        <w:gridCol w:w="1479"/>
        <w:gridCol w:w="236"/>
      </w:tblGrid>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szCs w:val="22"/>
              </w:rPr>
            </w:pPr>
            <w:r>
              <w:rPr>
                <w:szCs w:val="22"/>
              </w:rPr>
              <w:t>Tabella 1</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COSTITUZIONE DEL FONDO</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center"/>
              <w:rPr>
                <w:b/>
                <w:bCs/>
                <w:szCs w:val="22"/>
              </w:rPr>
            </w:pPr>
            <w:r>
              <w:rPr>
                <w:b/>
                <w:bCs/>
                <w:szCs w:val="22"/>
              </w:rPr>
              <w:t>Fondo 2016 (A)</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center"/>
              <w:rPr>
                <w:b/>
                <w:bCs/>
                <w:szCs w:val="22"/>
              </w:rPr>
            </w:pPr>
            <w:r>
              <w:rPr>
                <w:b/>
                <w:bCs/>
                <w:szCs w:val="22"/>
              </w:rPr>
              <w:t>Fondo 2015</w:t>
            </w:r>
          </w:p>
          <w:p w:rsidR="003620F3" w:rsidRDefault="002734FA">
            <w:pPr>
              <w:pStyle w:val="Standard"/>
              <w:spacing w:after="0"/>
              <w:ind w:firstLine="0"/>
              <w:jc w:val="center"/>
              <w:rPr>
                <w:b/>
                <w:bCs/>
                <w:szCs w:val="22"/>
              </w:rPr>
            </w:pPr>
            <w:r>
              <w:rPr>
                <w:b/>
                <w:bCs/>
                <w:szCs w:val="22"/>
              </w:rPr>
              <w:t>(B)</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center"/>
              <w:rPr>
                <w:b/>
                <w:bCs/>
                <w:szCs w:val="22"/>
              </w:rPr>
            </w:pPr>
            <w:r>
              <w:rPr>
                <w:b/>
                <w:bCs/>
                <w:szCs w:val="22"/>
              </w:rPr>
              <w:t>Diff A-B</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center"/>
              <w:rPr>
                <w:b/>
                <w:bCs/>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Risorse fisse aventi carattere di certezza e stabilità</w:t>
            </w: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Risorse storiche</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Unico importo consolidato anno 2003 (art. 31 c. 2 Ccnl EELL 02-05 e art 32)</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11.931,62</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11.931,62</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Incrementi contrattuali</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Incrementi ART 32 ccnl 22.01.04 (1,2,7 parte fissa)</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1.047,58</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1.047,58</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lang w:val="en-GB"/>
              </w:rPr>
            </w:pPr>
            <w:r>
              <w:rPr>
                <w:szCs w:val="22"/>
                <w:lang w:val="en-GB"/>
              </w:rPr>
              <w:t xml:space="preserve">Incrementi Ccnl 06-07 EELL (art. 8 cc. 2 </w:t>
            </w:r>
            <w:r>
              <w:rPr>
                <w:szCs w:val="22"/>
                <w:lang w:val="en-GB"/>
              </w:rPr>
              <w:t>parte fissa)</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951,70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951,70</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Altri incrementi con carattere di certezza e stabilità</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RIA e assegni ad personam personale cessato (art. 4 c. 2 Ccnl EEL 00-01)</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2.430,89</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2.430,89</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 xml:space="preserve">Dichiarazione congiunta n° 14 del Ccnl 02-05, n. 1 del Ccnl 08-09 </w:t>
            </w:r>
            <w:r>
              <w:rPr>
                <w:szCs w:val="22"/>
              </w:rPr>
              <w:t>(incremento progressioni economiche orizzontali)</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1.249,01</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1.249,01</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risorse fisse con carattere di certezza</w:t>
            </w:r>
          </w:p>
          <w:p w:rsidR="003620F3" w:rsidRDefault="002734FA">
            <w:pPr>
              <w:pStyle w:val="Standard"/>
              <w:spacing w:after="0"/>
              <w:ind w:firstLine="0"/>
              <w:jc w:val="left"/>
            </w:pPr>
            <w:r>
              <w:rPr>
                <w:b/>
                <w:bCs/>
                <w:szCs w:val="22"/>
              </w:rPr>
              <w:t xml:space="preserve"> e stabilità</w:t>
            </w:r>
          </w:p>
        </w:tc>
        <w:tc>
          <w:tcPr>
            <w:tcW w:w="22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17.610,80</w:t>
            </w:r>
          </w:p>
        </w:tc>
        <w:tc>
          <w:tcPr>
            <w:tcW w:w="23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17.610,80</w:t>
            </w:r>
          </w:p>
        </w:tc>
        <w:tc>
          <w:tcPr>
            <w:tcW w:w="14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b/>
                <w:bCs/>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Risorse variabili</w:t>
            </w: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Poste variabili sottoposte al limite</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rPr>
            </w:pP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 xml:space="preserve">Lettera k) Legge Regionale  specifica </w:t>
            </w:r>
            <w:r>
              <w:rPr>
                <w:szCs w:val="22"/>
              </w:rPr>
              <w:t>(es. SARDEGNA n. 19 del 1997) (art. 15 c. 1 lett. k - parte variabile Ccnl EELL 98-01)</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1.062,77</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1.062,77</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p w:rsidR="003620F3" w:rsidRDefault="003620F3">
            <w:pPr>
              <w:pStyle w:val="Standard"/>
              <w:snapToGrid w:val="0"/>
              <w:spacing w:after="0"/>
              <w:ind w:firstLine="0"/>
              <w:jc w:val="left"/>
              <w:rPr>
                <w:szCs w:val="22"/>
              </w:rPr>
            </w:pPr>
          </w:p>
        </w:tc>
      </w:tr>
      <w:tr w:rsidR="003620F3">
        <w:tblPrEx>
          <w:tblCellMar>
            <w:top w:w="0" w:type="dxa"/>
            <w:bottom w:w="0" w:type="dxa"/>
          </w:tblCellMar>
        </w:tblPrEx>
        <w:trPr>
          <w:trHeight w:val="611"/>
        </w:trPr>
        <w:tc>
          <w:tcPr>
            <w:tcW w:w="2168" w:type="dxa"/>
            <w:tcBorders>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lastRenderedPageBreak/>
              <w:t>Articolo 15, comma 2</w:t>
            </w:r>
          </w:p>
        </w:tc>
        <w:tc>
          <w:tcPr>
            <w:tcW w:w="22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1.431,53</w:t>
            </w:r>
          </w:p>
        </w:tc>
        <w:tc>
          <w:tcPr>
            <w:tcW w:w="14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-1.431,53</w:t>
            </w:r>
          </w:p>
        </w:tc>
        <w:tc>
          <w:tcPr>
            <w:tcW w:w="2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Poste variabili non sottoposte al limite</w:t>
            </w:r>
          </w:p>
        </w:tc>
      </w:tr>
      <w:tr w:rsidR="003620F3">
        <w:tblPrEx>
          <w:tblCellMar>
            <w:top w:w="0" w:type="dxa"/>
            <w:bottom w:w="0" w:type="dxa"/>
          </w:tblCellMar>
        </w:tblPrEx>
        <w:trPr>
          <w:trHeight w:val="772"/>
        </w:trPr>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 xml:space="preserve">Lettera k) primo comma art. 15 PROGETTAZIONE INTERNA (art. 15 </w:t>
            </w:r>
            <w:r>
              <w:rPr>
                <w:szCs w:val="22"/>
              </w:rPr>
              <w:t>c. 1 lett. k - parte variabile Ccnl EELL 98-01)</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10.000,00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2280,88</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7.719,12</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rPr>
          <w:trHeight w:val="772"/>
        </w:trPr>
        <w:tc>
          <w:tcPr>
            <w:tcW w:w="2168" w:type="dxa"/>
            <w:tcBorders>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ISTAT</w:t>
            </w:r>
          </w:p>
        </w:tc>
        <w:tc>
          <w:tcPr>
            <w:tcW w:w="22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1312,20</w:t>
            </w:r>
          </w:p>
        </w:tc>
        <w:tc>
          <w:tcPr>
            <w:tcW w:w="14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-1.312,20</w:t>
            </w:r>
          </w:p>
        </w:tc>
        <w:tc>
          <w:tcPr>
            <w:tcW w:w="2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Economie Fondo anno precedente</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5.830,07</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5.830,07</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Risp. straordinario anno precedente (art. 15 c. 1 lett m) Ccnl EELL 98-01)</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1.252,41</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1252,41</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rPr>
            </w:pP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risorse variabili</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18.145,25</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7.339,79</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10.805,46</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b/>
                <w:bCs/>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Decurtazioni del Fondo</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pPr>
            <w:r>
              <w:rPr>
                <w:iCs/>
                <w:szCs w:val="22"/>
              </w:rPr>
              <w:t>Decurtazione operate nel periodo 2011/2014 ai sensi dell'art. 9 C. 2 bis L.122/2010 secondo periodo</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lang w:val="en-GB"/>
              </w:rPr>
            </w:pPr>
            <w:r>
              <w:rPr>
                <w:szCs w:val="22"/>
                <w:lang w:val="en-GB"/>
              </w:rPr>
              <w:t>0,00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Decurtazione per rispetto limite 2015</w:t>
            </w:r>
          </w:p>
        </w:tc>
        <w:tc>
          <w:tcPr>
            <w:tcW w:w="22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lang w:val="en-GB"/>
              </w:rPr>
            </w:pPr>
            <w:r>
              <w:rPr>
                <w:szCs w:val="22"/>
                <w:lang w:val="en-GB"/>
              </w:rPr>
              <w:t>0,00</w:t>
            </w:r>
          </w:p>
        </w:tc>
        <w:tc>
          <w:tcPr>
            <w:tcW w:w="23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c>
          <w:tcPr>
            <w:tcW w:w="14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c>
          <w:tcPr>
            <w:tcW w:w="2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 xml:space="preserve">Altre </w:t>
            </w:r>
            <w:r>
              <w:rPr>
                <w:szCs w:val="22"/>
              </w:rPr>
              <w:t>decurtazioni del fondo</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2.400,10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2.400,10</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decurtazioni del fondo</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2.400,10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2.400,10</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w:t>
            </w: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b/>
                <w:bCs/>
                <w:szCs w:val="22"/>
              </w:rPr>
            </w:pPr>
          </w:p>
        </w:tc>
      </w:tr>
      <w:tr w:rsidR="003620F3">
        <w:tblPrEx>
          <w:tblCellMar>
            <w:top w:w="0" w:type="dxa"/>
            <w:bottom w:w="0" w:type="dxa"/>
          </w:tblCellMar>
        </w:tblPrEx>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Risorse del Fondo sottoposte a certificazione</w:t>
            </w: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Risorse fisse aventi carattere di certezza e stabilità</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17.610,80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17.610,80</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Risorse variabili</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18.145,25</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7.339,79</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Decurtazioni</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-2.400,10</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rPr>
            </w:pPr>
            <w:r>
              <w:rPr>
                <w:szCs w:val="22"/>
              </w:rPr>
              <w:t>-2.400,10</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168"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risorse Fondo sottoposte a certificazione</w:t>
            </w:r>
          </w:p>
        </w:tc>
        <w:tc>
          <w:tcPr>
            <w:tcW w:w="2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lang w:val="en-GB"/>
              </w:rPr>
            </w:pPr>
            <w:r>
              <w:rPr>
                <w:szCs w:val="22"/>
                <w:lang w:val="en-GB"/>
              </w:rPr>
              <w:t>33.355,95</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2734FA">
            <w:pPr>
              <w:pStyle w:val="Standard"/>
              <w:snapToGrid w:val="0"/>
              <w:spacing w:after="0"/>
              <w:ind w:firstLine="0"/>
              <w:jc w:val="left"/>
              <w:rPr>
                <w:szCs w:val="22"/>
                <w:lang w:val="en-GB"/>
              </w:rPr>
            </w:pPr>
            <w:r>
              <w:rPr>
                <w:szCs w:val="22"/>
                <w:lang w:val="en-GB"/>
              </w:rPr>
              <w:t>22.550,49</w:t>
            </w:r>
          </w:p>
        </w:tc>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b/>
                <w:szCs w:val="22"/>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0F3" w:rsidRDefault="003620F3">
            <w:pPr>
              <w:pStyle w:val="Standard"/>
              <w:snapToGrid w:val="0"/>
              <w:spacing w:after="0"/>
              <w:ind w:firstLine="0"/>
              <w:jc w:val="left"/>
              <w:rPr>
                <w:szCs w:val="22"/>
                <w:lang w:val="en-GB"/>
              </w:rPr>
            </w:pPr>
          </w:p>
        </w:tc>
      </w:tr>
    </w:tbl>
    <w:p w:rsidR="003620F3" w:rsidRDefault="003620F3">
      <w:pPr>
        <w:pStyle w:val="Standard"/>
        <w:ind w:left="1080" w:firstLine="0"/>
      </w:pPr>
    </w:p>
    <w:p w:rsidR="003620F3" w:rsidRDefault="003620F3">
      <w:pPr>
        <w:pStyle w:val="Standard"/>
        <w:ind w:left="1080" w:firstLine="0"/>
      </w:pPr>
    </w:p>
    <w:tbl>
      <w:tblPr>
        <w:tblW w:w="8670" w:type="dxa"/>
        <w:tblInd w:w="66" w:type="dxa"/>
        <w:tblLayout w:type="fixed"/>
        <w:tblCellMar>
          <w:left w:w="10" w:type="dxa"/>
          <w:right w:w="10" w:type="dxa"/>
        </w:tblCellMar>
        <w:tblLook w:val="04A0" w:firstRow="1" w:lastRow="0" w:firstColumn="1" w:lastColumn="0" w:noHBand="0" w:noVBand="1"/>
      </w:tblPr>
      <w:tblGrid>
        <w:gridCol w:w="2715"/>
        <w:gridCol w:w="1935"/>
        <w:gridCol w:w="2385"/>
        <w:gridCol w:w="1545"/>
        <w:gridCol w:w="90"/>
      </w:tblGrid>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szCs w:val="22"/>
              </w:rPr>
            </w:pPr>
            <w:r>
              <w:rPr>
                <w:szCs w:val="22"/>
              </w:rPr>
              <w:t>Tabella 2</w:t>
            </w: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PROGRAMMAZIONE DI UTILIZZO DEL FONDO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Fondo 2016 (A)</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Fondo 2015</w:t>
            </w:r>
          </w:p>
          <w:p w:rsidR="003620F3" w:rsidRDefault="002734FA">
            <w:pPr>
              <w:pStyle w:val="Standard"/>
              <w:spacing w:after="0"/>
              <w:ind w:firstLine="0"/>
              <w:jc w:val="center"/>
              <w:rPr>
                <w:b/>
                <w:bCs/>
                <w:szCs w:val="22"/>
              </w:rPr>
            </w:pPr>
            <w:r>
              <w:rPr>
                <w:b/>
                <w:bCs/>
                <w:szCs w:val="22"/>
              </w:rPr>
              <w:t>(B)</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Diff A-B</w:t>
            </w: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b/>
                <w:bCs/>
                <w:szCs w:val="22"/>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 xml:space="preserve">Destinazioni non regolate in sede di </w:t>
            </w:r>
            <w:r>
              <w:rPr>
                <w:b/>
                <w:bCs/>
                <w:szCs w:val="22"/>
              </w:rPr>
              <w:t>contrattazione integrativa</w:t>
            </w: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lastRenderedPageBreak/>
              <w:t xml:space="preserve">progressioni economiche STORICHE (non specificatamente contratte nel CCDI dell'anno)                                </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6.607,69</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6.607,69</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Indennità di comparto art.33 ccnl 22.01.04, quota a carico fondo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szCs w:val="22"/>
              </w:rPr>
            </w:pPr>
            <w:r>
              <w:rPr>
                <w:szCs w:val="22"/>
              </w:rPr>
              <w:t>3.318,12</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szCs w:val="22"/>
              </w:rPr>
            </w:pPr>
            <w:r>
              <w:rPr>
                <w:szCs w:val="22"/>
              </w:rPr>
              <w:t>3.318,12</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ALTRO NON contrattate nel CCDI dell'anno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129,00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129,00</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destinazioni non regolate in sede di contrattazione integrativa</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10.054,81</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spacing w:after="0"/>
              <w:ind w:firstLine="0"/>
              <w:jc w:val="center"/>
              <w:rPr>
                <w:rFonts w:cs="Tahoma"/>
                <w:szCs w:val="22"/>
              </w:rPr>
            </w:pPr>
          </w:p>
          <w:p w:rsidR="003620F3" w:rsidRDefault="002734FA">
            <w:pPr>
              <w:pStyle w:val="Standard"/>
              <w:snapToGrid w:val="0"/>
              <w:spacing w:after="0"/>
              <w:ind w:firstLine="0"/>
              <w:jc w:val="center"/>
              <w:rPr>
                <w:rFonts w:cs="Tahoma"/>
                <w:szCs w:val="22"/>
              </w:rPr>
            </w:pPr>
            <w:r>
              <w:rPr>
                <w:rFonts w:cs="Tahoma"/>
                <w:szCs w:val="22"/>
              </w:rPr>
              <w:t>10.054,81</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jc w:val="center"/>
              <w:rPr>
                <w:b/>
                <w:bCs/>
                <w:szCs w:val="22"/>
              </w:rPr>
            </w:pPr>
            <w:r>
              <w:rPr>
                <w:b/>
                <w:bCs/>
                <w:szCs w:val="22"/>
              </w:rPr>
              <w:t>Destinazioni regolate in sede di contrattazione integrativa</w:t>
            </w: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rPr>
                <w:rFonts w:cs="Tahoma"/>
                <w:b/>
                <w:bCs/>
                <w:szCs w:val="22"/>
              </w:rPr>
            </w:pPr>
            <w:r>
              <w:rPr>
                <w:rFonts w:cs="Tahoma"/>
                <w:b/>
                <w:bCs/>
                <w:szCs w:val="22"/>
              </w:rPr>
              <w:t xml:space="preserve">rischio  specificatamente contrattato nel </w:t>
            </w:r>
            <w:r>
              <w:rPr>
                <w:rFonts w:cs="Tahoma"/>
                <w:b/>
                <w:bCs/>
                <w:szCs w:val="22"/>
              </w:rPr>
              <w:t xml:space="preserve">CCDI dell'anno  </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330,00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rPr>
                <w:rFonts w:cs="Tahoma"/>
                <w:b/>
                <w:bCs/>
                <w:szCs w:val="22"/>
              </w:rPr>
            </w:pPr>
            <w:r>
              <w:rPr>
                <w:rFonts w:cs="Tahoma"/>
                <w:b/>
                <w:bCs/>
                <w:szCs w:val="22"/>
              </w:rPr>
              <w:t xml:space="preserve">maneggio valori specificatamente contrattato nel CCDI dell'anno  </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273,98</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rPr>
                <w:rFonts w:cs="Tahoma"/>
                <w:b/>
                <w:bCs/>
                <w:szCs w:val="22"/>
              </w:rPr>
            </w:pPr>
            <w:r>
              <w:rPr>
                <w:rFonts w:cs="Tahoma"/>
                <w:b/>
                <w:bCs/>
                <w:szCs w:val="22"/>
              </w:rPr>
              <w:t>reperibilità  specificatamente contrattate nel CCDI dell'anno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1.400,00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rPr>
                <w:rFonts w:cs="Tahoma"/>
                <w:b/>
                <w:bCs/>
                <w:szCs w:val="22"/>
              </w:rPr>
            </w:pPr>
            <w:r>
              <w:rPr>
                <w:rFonts w:cs="Tahoma"/>
                <w:b/>
                <w:bCs/>
                <w:szCs w:val="22"/>
              </w:rPr>
              <w:t>disagio specificatamente contrattate nel CCDI dell'anno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360,00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rPr>
                <w:rFonts w:cs="Tahoma"/>
                <w:b/>
                <w:bCs/>
                <w:szCs w:val="22"/>
              </w:rPr>
            </w:pPr>
            <w:r>
              <w:rPr>
                <w:rFonts w:cs="Tahoma"/>
                <w:b/>
                <w:bCs/>
                <w:szCs w:val="22"/>
              </w:rPr>
              <w:t>indennità</w:t>
            </w:r>
            <w:r>
              <w:rPr>
                <w:rFonts w:cs="Tahoma"/>
                <w:b/>
                <w:bCs/>
                <w:szCs w:val="22"/>
              </w:rPr>
              <w:t xml:space="preserve"> particolari posizioni art 17 comma 2 lett. F contrattate nel CCDI dell'anno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2.300,00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rPr>
                <w:rFonts w:cs="Tahoma"/>
                <w:b/>
                <w:bCs/>
                <w:szCs w:val="22"/>
              </w:rPr>
            </w:pPr>
            <w:r>
              <w:rPr>
                <w:rFonts w:cs="Tahoma"/>
                <w:b/>
                <w:bCs/>
                <w:szCs w:val="22"/>
              </w:rPr>
              <w:t>specifiche responsabilità art 17 comma 2 lett. i contrattate nel CCDI dell'anno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300,00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rFonts w:cs="Tahoma"/>
                <w:b/>
                <w:bCs/>
                <w:szCs w:val="22"/>
              </w:rPr>
            </w:pPr>
            <w:r>
              <w:rPr>
                <w:rFonts w:cs="Tahoma"/>
                <w:b/>
                <w:bCs/>
                <w:szCs w:val="22"/>
              </w:rPr>
              <w:t>produttività individuale contrattate nel CCDI dell'anno</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7.590,04</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rFonts w:cs="Tahoma"/>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pPr>
            <w:r>
              <w:rPr>
                <w:rFonts w:cs="Tahoma"/>
                <w:b/>
                <w:bCs/>
                <w:szCs w:val="22"/>
              </w:rPr>
              <w:t>Lettera k) primo comma art. 15</w:t>
            </w:r>
            <w:r>
              <w:rPr>
                <w:rFonts w:cs="Tahoma"/>
                <w:b/>
                <w:bCs/>
                <w:szCs w:val="22"/>
              </w:rPr>
              <w:br/>
            </w:r>
            <w:r>
              <w:rPr>
                <w:rFonts w:cs="Tahoma"/>
                <w:b/>
                <w:bCs/>
                <w:szCs w:val="22"/>
              </w:rPr>
              <w:t xml:space="preserve">PROGETTAZIONE </w:t>
            </w:r>
            <w:r>
              <w:rPr>
                <w:rFonts w:cs="Tahoma"/>
                <w:b/>
                <w:bCs/>
                <w:i/>
                <w:iCs/>
                <w:szCs w:val="22"/>
              </w:rPr>
              <w:t xml:space="preserve">RIF Art. 92 comma 5 e 6 D.LGS. 12 APRILE 2006, N. 16  </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10.000,00</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2734FA">
            <w:pPr>
              <w:pStyle w:val="Standard"/>
              <w:snapToGrid w:val="0"/>
              <w:spacing w:after="0"/>
              <w:ind w:firstLine="0"/>
              <w:jc w:val="center"/>
              <w:rPr>
                <w:rFonts w:cs="Tahoma"/>
                <w:szCs w:val="22"/>
              </w:rPr>
            </w:pPr>
            <w:r>
              <w:rPr>
                <w:rFonts w:cs="Tahoma"/>
                <w:szCs w:val="22"/>
              </w:rPr>
              <w:t>3593,08</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pPr>
            <w:r>
              <w:rPr>
                <w:rFonts w:cs="Tahoma"/>
                <w:b/>
                <w:bCs/>
                <w:szCs w:val="22"/>
              </w:rPr>
              <w:t>Lettera k) primo comma art. 15</w:t>
            </w:r>
            <w:r>
              <w:rPr>
                <w:rFonts w:cs="Tahoma"/>
                <w:b/>
                <w:bCs/>
                <w:szCs w:val="22"/>
              </w:rPr>
              <w:br/>
            </w:r>
            <w:r>
              <w:rPr>
                <w:rFonts w:cs="Tahoma"/>
                <w:b/>
                <w:bCs/>
                <w:i/>
                <w:iCs/>
                <w:szCs w:val="22"/>
              </w:rPr>
              <w:t>RIF – quota per Unione</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747,11</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2734FA">
            <w:pPr>
              <w:pStyle w:val="Standard"/>
              <w:snapToGrid w:val="0"/>
              <w:spacing w:after="0"/>
              <w:ind w:firstLine="0"/>
              <w:jc w:val="center"/>
              <w:rPr>
                <w:rFonts w:cs="Tahoma"/>
                <w:szCs w:val="22"/>
              </w:rPr>
            </w:pPr>
            <w:r>
              <w:rPr>
                <w:rFonts w:cs="Tahoma"/>
                <w:szCs w:val="22"/>
              </w:rPr>
              <w:t>747,11</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Articolo 15, comma 2 – quota accantonata</w:t>
            </w:r>
          </w:p>
        </w:tc>
        <w:tc>
          <w:tcPr>
            <w:tcW w:w="1935" w:type="dxa"/>
            <w:tcBorders>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rFonts w:cs="Tahoma"/>
                <w:szCs w:val="22"/>
              </w:rPr>
            </w:pPr>
          </w:p>
        </w:tc>
        <w:tc>
          <w:tcPr>
            <w:tcW w:w="2385" w:type="dxa"/>
            <w:tcBorders>
              <w:left w:val="single" w:sz="4" w:space="0" w:color="000000"/>
              <w:bottom w:val="single" w:sz="4" w:space="0" w:color="000000"/>
            </w:tcBorders>
            <w:shd w:val="clear" w:color="auto" w:fill="auto"/>
            <w:tcMar>
              <w:top w:w="15" w:type="dxa"/>
              <w:left w:w="15" w:type="dxa"/>
              <w:bottom w:w="15" w:type="dxa"/>
              <w:right w:w="15" w:type="dxa"/>
            </w:tcMar>
          </w:tcPr>
          <w:p w:rsidR="003620F3" w:rsidRDefault="002734FA">
            <w:pPr>
              <w:pStyle w:val="Standard"/>
              <w:snapToGrid w:val="0"/>
              <w:spacing w:after="0"/>
              <w:ind w:firstLine="0"/>
              <w:jc w:val="left"/>
              <w:rPr>
                <w:rFonts w:cs="Tahoma"/>
                <w:szCs w:val="22"/>
              </w:rPr>
            </w:pPr>
            <w:r>
              <w:rPr>
                <w:rFonts w:cs="Tahoma"/>
                <w:szCs w:val="22"/>
              </w:rPr>
              <w:t>1.431,53</w:t>
            </w:r>
          </w:p>
        </w:tc>
        <w:tc>
          <w:tcPr>
            <w:tcW w:w="1545" w:type="dxa"/>
            <w:tcBorders>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 xml:space="preserve">Totale </w:t>
            </w:r>
            <w:r>
              <w:rPr>
                <w:b/>
                <w:bCs/>
                <w:szCs w:val="22"/>
              </w:rPr>
              <w:t>destinazioni regolate in sede di contrattazione integrativa</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b/>
                <w:bCs/>
                <w:szCs w:val="22"/>
              </w:rPr>
            </w:pPr>
            <w:r>
              <w:rPr>
                <w:rFonts w:cs="Tahoma"/>
                <w:b/>
                <w:bCs/>
                <w:szCs w:val="22"/>
              </w:rPr>
              <w:t>23.301,13</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szCs w:val="22"/>
              </w:rPr>
            </w:pPr>
            <w:r>
              <w:rPr>
                <w:b/>
                <w:szCs w:val="22"/>
              </w:rPr>
              <w:t>5.771,72</w:t>
            </w:r>
          </w:p>
          <w:p w:rsidR="003620F3" w:rsidRDefault="003620F3">
            <w:pPr>
              <w:pStyle w:val="Standard"/>
              <w:snapToGrid w:val="0"/>
              <w:spacing w:after="0"/>
              <w:ind w:firstLine="0"/>
              <w:jc w:val="left"/>
              <w:rPr>
                <w:b/>
                <w:szCs w:val="22"/>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b/>
                <w:bCs/>
                <w:szCs w:val="22"/>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(eventuali) Destinazioni da regolare</w:t>
            </w: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lastRenderedPageBreak/>
              <w:t>Risorse ancora da contrattare</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pPr>
            <w:r>
              <w:t>0,01</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tbl>
            <w:tblPr>
              <w:tblW w:w="1986" w:type="dxa"/>
              <w:tblLayout w:type="fixed"/>
              <w:tblCellMar>
                <w:left w:w="10" w:type="dxa"/>
                <w:right w:w="10" w:type="dxa"/>
              </w:tblCellMar>
              <w:tblLook w:val="04A0" w:firstRow="1" w:lastRow="0" w:firstColumn="1" w:lastColumn="0" w:noHBand="0" w:noVBand="1"/>
            </w:tblPr>
            <w:tblGrid>
              <w:gridCol w:w="993"/>
              <w:gridCol w:w="993"/>
            </w:tblGrid>
            <w:tr w:rsidR="003620F3">
              <w:tblPrEx>
                <w:tblCellMar>
                  <w:top w:w="0" w:type="dxa"/>
                  <w:bottom w:w="0" w:type="dxa"/>
                </w:tblCellMar>
              </w:tblPrEx>
              <w:trPr>
                <w:trHeight w:val="664"/>
              </w:trPr>
              <w:tc>
                <w:tcPr>
                  <w:tcW w:w="993" w:type="dxa"/>
                  <w:tcBorders>
                    <w:top w:val="single" w:sz="8" w:space="0" w:color="FFFFFF"/>
                    <w:left w:val="single" w:sz="4" w:space="0" w:color="FFFFFF"/>
                    <w:bottom w:val="double" w:sz="6" w:space="0" w:color="FFFFFF"/>
                    <w:right w:val="single" w:sz="4" w:space="0" w:color="FFFFFF"/>
                  </w:tcBorders>
                  <w:shd w:val="clear" w:color="auto" w:fill="FFFFFF"/>
                  <w:tcMar>
                    <w:top w:w="0" w:type="dxa"/>
                    <w:left w:w="0" w:type="dxa"/>
                    <w:bottom w:w="0" w:type="dxa"/>
                    <w:right w:w="0" w:type="dxa"/>
                  </w:tcMar>
                </w:tcPr>
                <w:p w:rsidR="003620F3" w:rsidRDefault="002734FA">
                  <w:pPr>
                    <w:pStyle w:val="Standard"/>
                    <w:ind w:firstLine="0"/>
                    <w:jc w:val="left"/>
                    <w:rPr>
                      <w:szCs w:val="22"/>
                    </w:rPr>
                  </w:pPr>
                  <w:r>
                    <w:rPr>
                      <w:szCs w:val="22"/>
                    </w:rPr>
                    <w:t xml:space="preserve">    6.723,94*</w:t>
                  </w:r>
                </w:p>
              </w:tc>
              <w:tc>
                <w:tcPr>
                  <w:tcW w:w="993" w:type="dxa"/>
                  <w:tcBorders>
                    <w:top w:val="single" w:sz="8" w:space="0" w:color="FFFFFF"/>
                    <w:left w:val="single" w:sz="4" w:space="0" w:color="FFFFFF"/>
                    <w:bottom w:val="double" w:sz="6" w:space="0" w:color="FFFFFF"/>
                    <w:right w:val="double" w:sz="6" w:space="0" w:color="FFFFFF"/>
                  </w:tcBorders>
                  <w:shd w:val="clear" w:color="auto" w:fill="FFFFFF"/>
                  <w:tcMar>
                    <w:top w:w="0" w:type="dxa"/>
                    <w:left w:w="0" w:type="dxa"/>
                    <w:bottom w:w="0" w:type="dxa"/>
                    <w:right w:w="0" w:type="dxa"/>
                  </w:tcMar>
                </w:tcPr>
                <w:p w:rsidR="003620F3" w:rsidRDefault="003620F3">
                  <w:pPr>
                    <w:pStyle w:val="Standard"/>
                    <w:ind w:firstLine="0"/>
                    <w:jc w:val="left"/>
                    <w:rPr>
                      <w:szCs w:val="22"/>
                    </w:rPr>
                  </w:pPr>
                </w:p>
              </w:tc>
            </w:tr>
          </w:tbl>
          <w:p w:rsidR="003620F3" w:rsidRDefault="003620F3">
            <w:pPr>
              <w:pStyle w:val="Standard"/>
              <w:snapToGrid w:val="0"/>
              <w:spacing w:after="0"/>
              <w:ind w:firstLine="0"/>
              <w:jc w:val="left"/>
              <w:rPr>
                <w:szCs w:val="22"/>
                <w:lang w:val="en-GB"/>
              </w:rPr>
            </w:pP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lang w:val="en-GB"/>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lang w:val="en-GB"/>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(eventuali) destinazioni ancora da regolare</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szCs w:val="22"/>
                <w:lang w:val="en-GB"/>
              </w:rPr>
            </w:pPr>
            <w:r>
              <w:rPr>
                <w:b/>
                <w:szCs w:val="22"/>
                <w:lang w:val="en-GB"/>
              </w:rPr>
              <w:t>0,01</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ind w:firstLine="0"/>
              <w:jc w:val="left"/>
              <w:rPr>
                <w:szCs w:val="22"/>
              </w:rPr>
            </w:pPr>
            <w:r>
              <w:rPr>
                <w:szCs w:val="22"/>
              </w:rPr>
              <w:t xml:space="preserve">       6.723,94*</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ind w:firstLine="0"/>
              <w:jc w:val="left"/>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b/>
                <w:szCs w:val="22"/>
                <w:lang w:val="en-GB"/>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b/>
                <w:bCs/>
                <w:szCs w:val="22"/>
                <w:lang w:val="en-GB"/>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b/>
                <w:bCs/>
                <w:szCs w:val="22"/>
              </w:rPr>
            </w:pPr>
            <w:r>
              <w:rPr>
                <w:b/>
                <w:bCs/>
                <w:szCs w:val="22"/>
              </w:rPr>
              <w:t>Destinazioni Fondo sottoposte a certificazione</w:t>
            </w: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Destinazioni non regolate in sede di contrattazione integrativa</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10.054,81</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rFonts w:cs="Tahoma"/>
                <w:szCs w:val="22"/>
              </w:rPr>
            </w:pPr>
            <w:r>
              <w:rPr>
                <w:rFonts w:cs="Tahoma"/>
                <w:szCs w:val="22"/>
              </w:rPr>
              <w:t>10.054,81</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Destinazioni regolate in sede di contrattazione integrativa</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pPr>
            <w:r>
              <w:t>23.301,13</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szCs w:val="22"/>
              </w:rPr>
            </w:pPr>
            <w:r>
              <w:rPr>
                <w:b/>
                <w:szCs w:val="22"/>
              </w:rPr>
              <w:t>5.771,72</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620F3" w:rsidRDefault="003620F3">
            <w:pPr>
              <w:pStyle w:val="Standard"/>
              <w:snapToGrid w:val="0"/>
              <w:rPr>
                <w:szCs w:val="22"/>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rPr>
            </w:pPr>
            <w:r>
              <w:rPr>
                <w:szCs w:val="22"/>
              </w:rPr>
              <w:t xml:space="preserve">(eventuali) destinazioni ancora da </w:t>
            </w:r>
            <w:r>
              <w:rPr>
                <w:szCs w:val="22"/>
              </w:rPr>
              <w:t>regolare</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pPr>
            <w:r>
              <w:t>0,01</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lang w:val="en-GB"/>
              </w:rPr>
            </w:pPr>
            <w:r>
              <w:rPr>
                <w:szCs w:val="22"/>
                <w:lang w:val="en-GB"/>
              </w:rPr>
              <w:t>6.723,94*</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lang w:val="en-GB"/>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lang w:val="en-GB"/>
              </w:rPr>
            </w:pPr>
          </w:p>
        </w:tc>
      </w:tr>
      <w:tr w:rsidR="003620F3">
        <w:tblPrEx>
          <w:tblCellMar>
            <w:top w:w="0" w:type="dxa"/>
            <w:bottom w:w="0" w:type="dxa"/>
          </w:tblCellMar>
        </w:tblPrEx>
        <w:tc>
          <w:tcPr>
            <w:tcW w:w="271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b/>
                <w:bCs/>
                <w:szCs w:val="22"/>
              </w:rPr>
            </w:pPr>
            <w:r>
              <w:rPr>
                <w:b/>
                <w:bCs/>
                <w:szCs w:val="22"/>
              </w:rPr>
              <w:t>Totale destinazioni Fondo sottoposte a certificazione</w:t>
            </w:r>
          </w:p>
        </w:tc>
        <w:tc>
          <w:tcPr>
            <w:tcW w:w="193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center"/>
              <w:rPr>
                <w:szCs w:val="22"/>
                <w:lang w:val="en-GB"/>
              </w:rPr>
            </w:pPr>
            <w:r>
              <w:rPr>
                <w:szCs w:val="22"/>
                <w:lang w:val="en-GB"/>
              </w:rPr>
              <w:t>33.355,95</w:t>
            </w:r>
          </w:p>
        </w:tc>
        <w:tc>
          <w:tcPr>
            <w:tcW w:w="238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2734FA">
            <w:pPr>
              <w:pStyle w:val="Standard"/>
              <w:snapToGrid w:val="0"/>
              <w:spacing w:after="0"/>
              <w:ind w:firstLine="0"/>
              <w:jc w:val="left"/>
              <w:rPr>
                <w:szCs w:val="22"/>
                <w:lang w:val="en-GB"/>
              </w:rPr>
            </w:pPr>
            <w:r>
              <w:rPr>
                <w:szCs w:val="22"/>
                <w:lang w:val="en-GB"/>
              </w:rPr>
              <w:t>22.550,47</w:t>
            </w:r>
          </w:p>
        </w:tc>
        <w:tc>
          <w:tcPr>
            <w:tcW w:w="1545"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b/>
                <w:szCs w:val="22"/>
                <w:lang w:val="en-GB"/>
              </w:rPr>
            </w:pPr>
          </w:p>
        </w:tc>
        <w:tc>
          <w:tcPr>
            <w:tcW w:w="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left"/>
              <w:rPr>
                <w:szCs w:val="22"/>
                <w:lang w:val="en-GB"/>
              </w:rPr>
            </w:pPr>
          </w:p>
        </w:tc>
      </w:tr>
      <w:tr w:rsidR="003620F3">
        <w:tblPrEx>
          <w:tblCellMar>
            <w:top w:w="0" w:type="dxa"/>
            <w:bottom w:w="0" w:type="dxa"/>
          </w:tblCellMar>
        </w:tblPrEx>
        <w:tc>
          <w:tcPr>
            <w:tcW w:w="867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620F3" w:rsidRDefault="003620F3">
            <w:pPr>
              <w:pStyle w:val="Standard"/>
              <w:snapToGrid w:val="0"/>
              <w:spacing w:after="0"/>
              <w:ind w:firstLine="0"/>
              <w:jc w:val="center"/>
              <w:rPr>
                <w:b/>
                <w:bCs/>
                <w:szCs w:val="22"/>
                <w:lang w:val="en-GB"/>
              </w:rPr>
            </w:pPr>
          </w:p>
        </w:tc>
      </w:tr>
    </w:tbl>
    <w:p w:rsidR="003620F3" w:rsidRDefault="003620F3">
      <w:pPr>
        <w:pStyle w:val="Standard"/>
        <w:ind w:left="1080" w:firstLine="0"/>
        <w:rPr>
          <w:lang w:val="en-GB"/>
        </w:rPr>
      </w:pPr>
    </w:p>
    <w:p w:rsidR="003620F3" w:rsidRDefault="002734FA">
      <w:pPr>
        <w:pStyle w:val="Standard"/>
        <w:ind w:left="1080" w:firstLine="0"/>
      </w:pPr>
      <w:r>
        <w:rPr>
          <w:rStyle w:val="StrongEmphasis"/>
          <w:b w:val="0"/>
          <w:bCs w:val="0"/>
          <w:szCs w:val="22"/>
        </w:rPr>
        <w:t xml:space="preserve">* in attuazione del Piano di ripartizione approvato con </w:t>
      </w:r>
      <w:r>
        <w:rPr>
          <w:rStyle w:val="StrongEmphasis"/>
          <w:rFonts w:cs="Garamond"/>
          <w:b w:val="0"/>
          <w:bCs w:val="0"/>
          <w:sz w:val="24"/>
          <w:lang w:eastAsia="it-IT"/>
        </w:rPr>
        <w:t xml:space="preserve"> Del. GC. n. 21 del 16/06/2016 che prevede la distribuzione delle economie a partire </w:t>
      </w:r>
      <w:r>
        <w:rPr>
          <w:rStyle w:val="StrongEmphasis"/>
          <w:rFonts w:cs="Garamond"/>
          <w:b w:val="0"/>
          <w:bCs w:val="0"/>
          <w:sz w:val="24"/>
          <w:lang w:eastAsia="it-IT"/>
        </w:rPr>
        <w:t>dall’annualità 2016 in aggiunta alla quota di competenza del Fondo di ciascun anno, tali residui del 2015 saranno inseriti ad integrazione delle risorse del fondo anno 2021 e saranno vincolate all'incentivazione di particolari obiettivi sfidanti e innovati</w:t>
      </w:r>
      <w:r>
        <w:rPr>
          <w:rStyle w:val="StrongEmphasis"/>
          <w:rFonts w:cs="Garamond"/>
          <w:b w:val="0"/>
          <w:bCs w:val="0"/>
          <w:sz w:val="24"/>
          <w:lang w:eastAsia="it-IT"/>
        </w:rPr>
        <w:t>vi, che abbiano le stesse caratteristiche e requisiti richiesti per gli obiettivi specifici o nuovi servizi di cui all’art. 15 c. 5 CCNL 1.4.1999;</w:t>
      </w:r>
    </w:p>
    <w:p w:rsidR="003620F3" w:rsidRDefault="002734FA">
      <w:pPr>
        <w:pStyle w:val="Titolo2"/>
        <w:ind w:left="357"/>
        <w:jc w:val="center"/>
        <w:rPr>
          <w:color w:val="31849B"/>
          <w:szCs w:val="28"/>
          <w:shd w:val="clear" w:color="auto" w:fill="FFFFFF"/>
        </w:rPr>
      </w:pPr>
      <w:r>
        <w:rPr>
          <w:color w:val="31849B"/>
          <w:szCs w:val="28"/>
          <w:shd w:val="clear" w:color="auto" w:fill="FFFFFF"/>
        </w:rPr>
        <w:t>Modulo IV - Compatibilità economico-finanziaria e modalità di copertura degli oneri del Fondo con riferimento</w:t>
      </w:r>
      <w:r>
        <w:rPr>
          <w:color w:val="31849B"/>
          <w:szCs w:val="28"/>
          <w:shd w:val="clear" w:color="auto" w:fill="FFFFFF"/>
        </w:rPr>
        <w:t xml:space="preserve"> agli strumenti annuali e pluriennali di bilancio</w:t>
      </w:r>
    </w:p>
    <w:p w:rsidR="003620F3" w:rsidRDefault="002734FA">
      <w:pPr>
        <w:pStyle w:val="Titolo3"/>
      </w:pPr>
      <w:r>
        <w:t xml:space="preserve">Sezione I - Esposizione finalizzata alla verifica che gli strumenti della contabilità economico-finanziaria </w:t>
      </w:r>
      <w:r>
        <w:rPr>
          <w:spacing w:val="-4"/>
        </w:rPr>
        <w:t>dell’Amministrazione</w:t>
      </w:r>
      <w:r>
        <w:t xml:space="preserve"> presidiano correttamente i limiti di spesa del Fondo nella fase programmatori</w:t>
      </w:r>
      <w:r>
        <w:t>a della gestione</w:t>
      </w:r>
    </w:p>
    <w:p w:rsidR="003620F3" w:rsidRDefault="002734FA">
      <w:pPr>
        <w:pStyle w:val="Standard"/>
        <w:rPr>
          <w:rFonts w:cs="Calibri"/>
          <w:szCs w:val="22"/>
        </w:rPr>
      </w:pPr>
      <w:r>
        <w:rPr>
          <w:rFonts w:cs="Calibri"/>
          <w:szCs w:val="22"/>
        </w:rPr>
        <w:t>Per ciascun argomento si evidenzia quanto segue:</w:t>
      </w:r>
    </w:p>
    <w:p w:rsidR="003620F3" w:rsidRDefault="002734FA">
      <w:pPr>
        <w:pStyle w:val="Standard"/>
        <w:numPr>
          <w:ilvl w:val="0"/>
          <w:numId w:val="34"/>
        </w:numPr>
        <w:autoSpaceDE w:val="0"/>
        <w:spacing w:after="0"/>
        <w:ind w:left="567" w:firstLine="0"/>
        <w:jc w:val="left"/>
      </w:pPr>
      <w:r>
        <w:rPr>
          <w:rFonts w:cs="Calibri"/>
          <w:b/>
          <w:bCs/>
          <w:szCs w:val="22"/>
        </w:rPr>
        <w:t>Rispetto dei vincoli di bilancio</w:t>
      </w:r>
      <w:r>
        <w:rPr>
          <w:rFonts w:cs="Calibri"/>
          <w:szCs w:val="22"/>
        </w:rPr>
        <w:t>: l’ammontare delle risorse per le quali si contratta la destinazione trovano copertura negli stanziamenti del bilancio anno 2016;</w:t>
      </w:r>
    </w:p>
    <w:p w:rsidR="003620F3" w:rsidRDefault="002734FA">
      <w:pPr>
        <w:pStyle w:val="Standard"/>
        <w:numPr>
          <w:ilvl w:val="0"/>
          <w:numId w:val="12"/>
        </w:numPr>
        <w:autoSpaceDE w:val="0"/>
        <w:spacing w:after="0"/>
        <w:ind w:left="567" w:firstLine="0"/>
        <w:jc w:val="left"/>
      </w:pPr>
      <w:r>
        <w:rPr>
          <w:rFonts w:cs="Calibri"/>
          <w:szCs w:val="22"/>
        </w:rPr>
        <w:t>R</w:t>
      </w:r>
      <w:r>
        <w:rPr>
          <w:rFonts w:cs="Calibri"/>
          <w:b/>
          <w:bCs/>
          <w:szCs w:val="22"/>
        </w:rPr>
        <w:t>ispetto dei vincoli deriva</w:t>
      </w:r>
      <w:r>
        <w:rPr>
          <w:rFonts w:cs="Calibri"/>
          <w:b/>
          <w:bCs/>
          <w:szCs w:val="22"/>
        </w:rPr>
        <w:t xml:space="preserve">nti dalla legge e dal contratto nazionale </w:t>
      </w:r>
      <w:r>
        <w:rPr>
          <w:rFonts w:cs="Calibri"/>
          <w:szCs w:val="22"/>
        </w:rPr>
        <w:t>Le fonti di alimentazione del fondo sono previste dal contratto nazionale e la loro quantificazione è elaborata sulla base delle disposizioni stesse (Vedi Modulo I). La destinazione comprende esclusivamente istitut</w:t>
      </w:r>
      <w:r>
        <w:rPr>
          <w:rFonts w:cs="Calibri"/>
          <w:szCs w:val="22"/>
        </w:rPr>
        <w:t>i espressamente devoluti dalla contrattazione nazionale a quella decentrata (Vedi Modulo II)</w:t>
      </w:r>
    </w:p>
    <w:p w:rsidR="003620F3" w:rsidRDefault="002734FA">
      <w:pPr>
        <w:pStyle w:val="Standard"/>
        <w:numPr>
          <w:ilvl w:val="0"/>
          <w:numId w:val="12"/>
        </w:numPr>
        <w:autoSpaceDE w:val="0"/>
        <w:spacing w:after="0"/>
        <w:ind w:left="567" w:firstLine="0"/>
        <w:jc w:val="left"/>
      </w:pPr>
      <w:r>
        <w:rPr>
          <w:rFonts w:cs="Calibri"/>
          <w:b/>
          <w:szCs w:val="22"/>
        </w:rPr>
        <w:t>Imputazione nel Bilancio</w:t>
      </w:r>
      <w:r>
        <w:rPr>
          <w:rFonts w:cs="Calibri"/>
          <w:szCs w:val="22"/>
        </w:rPr>
        <w:t>: La destinazione del fondo disciplinata dall’ipotesi di accordo in oggetto trova finanziamento nel bilancio di previsione 2016 come segue:</w:t>
      </w:r>
    </w:p>
    <w:p w:rsidR="003620F3" w:rsidRDefault="003620F3">
      <w:pPr>
        <w:pStyle w:val="Standard"/>
        <w:autoSpaceDE w:val="0"/>
        <w:spacing w:after="0"/>
        <w:ind w:left="1440" w:firstLine="0"/>
        <w:jc w:val="left"/>
        <w:rPr>
          <w:rFonts w:cs="Calibri"/>
          <w:szCs w:val="22"/>
        </w:rPr>
      </w:pPr>
    </w:p>
    <w:p w:rsidR="003620F3" w:rsidRDefault="002734FA">
      <w:pPr>
        <w:pStyle w:val="Standard"/>
        <w:numPr>
          <w:ilvl w:val="2"/>
          <w:numId w:val="13"/>
        </w:numPr>
        <w:autoSpaceDE w:val="0"/>
        <w:spacing w:after="0"/>
        <w:ind w:left="1068" w:firstLine="567"/>
        <w:jc w:val="left"/>
        <w:rPr>
          <w:rFonts w:cs="Calibri"/>
          <w:szCs w:val="22"/>
        </w:rPr>
      </w:pPr>
      <w:r>
        <w:rPr>
          <w:rFonts w:cs="Calibri"/>
          <w:szCs w:val="22"/>
        </w:rPr>
        <w:t>le voci di utilizzo fisse (Indennità di comparto e progressioni orizzontali già in atto) saranno imputate ai capitoli/interventi di spesa previsti in bilancio per ciascun dipendente;</w:t>
      </w:r>
    </w:p>
    <w:p w:rsidR="003620F3" w:rsidRDefault="002734FA">
      <w:pPr>
        <w:pStyle w:val="Standard"/>
        <w:numPr>
          <w:ilvl w:val="2"/>
          <w:numId w:val="13"/>
        </w:numPr>
        <w:autoSpaceDE w:val="0"/>
        <w:spacing w:after="0"/>
        <w:ind w:left="1068" w:firstLine="567"/>
        <w:jc w:val="left"/>
      </w:pPr>
      <w:r>
        <w:rPr>
          <w:rFonts w:cs="Calibri"/>
          <w:szCs w:val="22"/>
        </w:rPr>
        <w:t xml:space="preserve">la restante parte  di utilizzo oggetto di contrattazione (fondo </w:t>
      </w:r>
      <w:r>
        <w:rPr>
          <w:rFonts w:cs="Calibri"/>
          <w:szCs w:val="22"/>
        </w:rPr>
        <w:t xml:space="preserve">generale e indennità individuali) sarà imputata al capitolo 77 del bilancio 2016/2018 </w:t>
      </w:r>
      <w:r>
        <w:rPr>
          <w:rFonts w:cs="Calibri"/>
          <w:color w:val="000000"/>
          <w:szCs w:val="22"/>
        </w:rPr>
        <w:t>agli impegni n. 134/2016 e n. 153 sub 2/2011.</w:t>
      </w:r>
      <w:r>
        <w:rPr>
          <w:rFonts w:cs="Calibri"/>
          <w:szCs w:val="22"/>
        </w:rPr>
        <w:t>.</w:t>
      </w:r>
    </w:p>
    <w:p w:rsidR="003620F3" w:rsidRDefault="002734FA">
      <w:pPr>
        <w:pStyle w:val="Standard"/>
        <w:numPr>
          <w:ilvl w:val="2"/>
          <w:numId w:val="13"/>
        </w:numPr>
        <w:autoSpaceDE w:val="0"/>
        <w:spacing w:after="0"/>
        <w:ind w:left="1068" w:firstLine="567"/>
        <w:jc w:val="left"/>
        <w:rPr>
          <w:rFonts w:cs="Calibri"/>
          <w:szCs w:val="22"/>
        </w:rPr>
      </w:pPr>
      <w:r>
        <w:rPr>
          <w:rFonts w:cs="Calibri"/>
          <w:szCs w:val="22"/>
        </w:rPr>
        <w:lastRenderedPageBreak/>
        <w:t>le voci relative agli incentivi di cui all’art. 92 del D. Lgs 163/2006 saranno iscritte negli stanziamenti dei diversi inte</w:t>
      </w:r>
      <w:r>
        <w:rPr>
          <w:rFonts w:cs="Calibri"/>
          <w:szCs w:val="22"/>
        </w:rPr>
        <w:t>rventi a cui si riferiscono;</w:t>
      </w:r>
    </w:p>
    <w:p w:rsidR="003620F3" w:rsidRDefault="003620F3">
      <w:pPr>
        <w:pStyle w:val="Standard"/>
        <w:autoSpaceDE w:val="0"/>
        <w:spacing w:after="0"/>
        <w:ind w:left="1068" w:firstLine="0"/>
        <w:jc w:val="left"/>
        <w:rPr>
          <w:rFonts w:cs="Calibri"/>
          <w:szCs w:val="22"/>
        </w:rPr>
      </w:pPr>
    </w:p>
    <w:p w:rsidR="003620F3" w:rsidRDefault="002734FA">
      <w:pPr>
        <w:pStyle w:val="Standard"/>
        <w:autoSpaceDE w:val="0"/>
        <w:spacing w:after="0"/>
        <w:ind w:left="1077" w:firstLine="0"/>
        <w:jc w:val="left"/>
        <w:rPr>
          <w:rFonts w:cs="Calibri"/>
          <w:color w:val="000000"/>
          <w:szCs w:val="22"/>
        </w:rPr>
      </w:pPr>
      <w:r>
        <w:rPr>
          <w:rFonts w:cs="Calibri"/>
          <w:color w:val="000000"/>
          <w:szCs w:val="22"/>
        </w:rPr>
        <w:t>Si attesta che la spesa del personale per l'anno 2008 era pari ad € 341,236,55</w:t>
      </w:r>
    </w:p>
    <w:p w:rsidR="003620F3" w:rsidRDefault="002734FA">
      <w:pPr>
        <w:pStyle w:val="Standard"/>
        <w:autoSpaceDE w:val="0"/>
        <w:spacing w:after="0"/>
        <w:ind w:left="1077" w:firstLine="0"/>
        <w:jc w:val="left"/>
        <w:rPr>
          <w:rFonts w:cs="Calibri"/>
          <w:color w:val="000000"/>
          <w:szCs w:val="22"/>
        </w:rPr>
      </w:pPr>
      <w:r>
        <w:rPr>
          <w:rFonts w:cs="Calibri"/>
          <w:color w:val="000000"/>
          <w:szCs w:val="22"/>
        </w:rPr>
        <w:t>Si attesta che la spesa del personale per l'anno 2016 è pari ad € 319,250,00</w:t>
      </w:r>
    </w:p>
    <w:p w:rsidR="003620F3" w:rsidRDefault="002734FA">
      <w:pPr>
        <w:pStyle w:val="Standard"/>
        <w:autoSpaceDE w:val="0"/>
        <w:spacing w:after="0"/>
        <w:ind w:left="1077" w:firstLine="0"/>
        <w:jc w:val="left"/>
        <w:rPr>
          <w:rFonts w:cs="Calibri"/>
          <w:color w:val="000000"/>
          <w:szCs w:val="22"/>
        </w:rPr>
      </w:pPr>
      <w:r>
        <w:rPr>
          <w:rFonts w:cs="Calibri"/>
          <w:color w:val="000000"/>
          <w:szCs w:val="22"/>
        </w:rPr>
        <w:t>Si attesta pertanto che sono stati rispettati i limiti dei parametri d</w:t>
      </w:r>
      <w:r>
        <w:rPr>
          <w:rFonts w:cs="Calibri"/>
          <w:color w:val="000000"/>
          <w:szCs w:val="22"/>
        </w:rPr>
        <w:t>i virtuosità fissati per la spesa di personale dalle attuali norme vigenti.</w:t>
      </w:r>
    </w:p>
    <w:p w:rsidR="003620F3" w:rsidRDefault="003620F3">
      <w:pPr>
        <w:pStyle w:val="Standard"/>
        <w:autoSpaceDE w:val="0"/>
        <w:spacing w:after="0"/>
        <w:ind w:left="1077" w:firstLine="0"/>
        <w:jc w:val="left"/>
        <w:rPr>
          <w:rFonts w:ascii="Tahoma" w:eastAsia="Arial" w:hAnsi="Tahoma" w:cs="Tahoma"/>
          <w:color w:val="000000"/>
          <w:sz w:val="20"/>
          <w:szCs w:val="20"/>
        </w:rPr>
      </w:pPr>
    </w:p>
    <w:p w:rsidR="003620F3" w:rsidRDefault="002734FA">
      <w:pPr>
        <w:pStyle w:val="Standard"/>
        <w:autoSpaceDE w:val="0"/>
        <w:spacing w:after="0"/>
        <w:ind w:left="1077" w:hanging="1077"/>
        <w:jc w:val="left"/>
      </w:pPr>
      <w:r>
        <w:rPr>
          <w:rFonts w:cs="Calibri"/>
          <w:color w:val="FFFFFF"/>
          <w:sz w:val="28"/>
          <w:szCs w:val="28"/>
          <w:shd w:val="clear" w:color="auto" w:fill="0066CC"/>
        </w:rPr>
        <w:t>Sezione II -Esposizione finalizzata alla verifica a consuntivo che il limite di spesa del Fondo dell'anno precedente risulta rispettato</w:t>
      </w:r>
    </w:p>
    <w:p w:rsidR="003620F3" w:rsidRDefault="003620F3">
      <w:pPr>
        <w:pStyle w:val="Standard"/>
        <w:autoSpaceDE w:val="0"/>
        <w:spacing w:after="0"/>
        <w:ind w:left="1077" w:firstLine="0"/>
        <w:jc w:val="left"/>
        <w:rPr>
          <w:rFonts w:cs="Calibri"/>
          <w:szCs w:val="22"/>
        </w:rPr>
      </w:pPr>
    </w:p>
    <w:p w:rsidR="003620F3" w:rsidRDefault="002734FA">
      <w:pPr>
        <w:pStyle w:val="Standard"/>
        <w:autoSpaceDE w:val="0"/>
        <w:spacing w:after="0"/>
        <w:ind w:left="1077" w:firstLine="0"/>
        <w:jc w:val="left"/>
      </w:pPr>
      <w:r>
        <w:rPr>
          <w:rFonts w:cs="Calibri"/>
          <w:szCs w:val="22"/>
        </w:rPr>
        <w:t>La costituzione del fondo per l'anno 2016,</w:t>
      </w:r>
      <w:r>
        <w:rPr>
          <w:rFonts w:cs="Calibri"/>
          <w:szCs w:val="22"/>
        </w:rPr>
        <w:t xml:space="preserve"> così come previsto dalla L. 208/2015 non risulta superare l'importo determinato per l'anno 2015 pari a</w:t>
      </w:r>
      <w:r>
        <w:rPr>
          <w:rFonts w:cs="Calibri"/>
          <w:color w:val="000000"/>
          <w:szCs w:val="22"/>
        </w:rPr>
        <w:t xml:space="preserve"> € 17.704,98 </w:t>
      </w:r>
      <w:r>
        <w:rPr>
          <w:rFonts w:cs="Calibri"/>
          <w:szCs w:val="22"/>
        </w:rPr>
        <w:t>mentre per l'anno 2016 è pari ad € 16.273,47.</w:t>
      </w:r>
    </w:p>
    <w:p w:rsidR="003620F3" w:rsidRDefault="003620F3">
      <w:pPr>
        <w:pStyle w:val="Standard"/>
        <w:autoSpaceDE w:val="0"/>
        <w:spacing w:after="0"/>
        <w:ind w:left="1077" w:firstLine="0"/>
        <w:jc w:val="left"/>
        <w:rPr>
          <w:rFonts w:cs="Calibri"/>
          <w:szCs w:val="22"/>
        </w:rPr>
      </w:pPr>
    </w:p>
    <w:p w:rsidR="003620F3" w:rsidRDefault="002734FA">
      <w:pPr>
        <w:pStyle w:val="Standard"/>
        <w:autoSpaceDE w:val="0"/>
        <w:spacing w:after="0"/>
        <w:ind w:left="1077" w:firstLine="0"/>
      </w:pPr>
      <w:r>
        <w:rPr>
          <w:rFonts w:cs="Calibri"/>
          <w:szCs w:val="22"/>
        </w:rPr>
        <w:t>Si precisa che i valori esposti equivalgono al totale del fondo dell’anno al netto della even</w:t>
      </w:r>
      <w:r>
        <w:rPr>
          <w:rFonts w:cs="Calibri"/>
          <w:szCs w:val="22"/>
        </w:rPr>
        <w:t>tuale decurtazione del limite dell’anno 2015. Pertanto si attesta che il fondo 2016 risulta non superiore al fondo dell'anno precedente. Tali valori non includono le risorse di cui alla lettera k dell’art. 15 comma 1 per la progettazione e l’avvocatura, gl</w:t>
      </w:r>
      <w:r>
        <w:rPr>
          <w:rFonts w:cs="Calibri"/>
          <w:szCs w:val="22"/>
        </w:rPr>
        <w:t>i importi di cui alla lettera d dell’art. 15, le economie dell’anno precedente di cui all’art. 15 comma 1 lett. m e le somme di cui all’art. 17 comma 5 del CCNL 1.4.1999).</w:t>
      </w:r>
    </w:p>
    <w:p w:rsidR="003620F3" w:rsidRDefault="002734FA">
      <w:pPr>
        <w:pStyle w:val="Standard"/>
        <w:autoSpaceDE w:val="0"/>
        <w:spacing w:after="0"/>
        <w:ind w:left="1077" w:firstLine="0"/>
        <w:rPr>
          <w:rFonts w:cs="Calibri"/>
          <w:color w:val="000000"/>
          <w:szCs w:val="22"/>
        </w:rPr>
      </w:pPr>
      <w:r>
        <w:rPr>
          <w:rFonts w:cs="Calibri"/>
          <w:color w:val="000000"/>
          <w:szCs w:val="22"/>
        </w:rPr>
        <w:t>Per quanto riguarda la spesa, esaminata la parte di utilizzo oggetto della contratta</w:t>
      </w:r>
      <w:r>
        <w:rPr>
          <w:rFonts w:cs="Calibri"/>
          <w:color w:val="000000"/>
          <w:szCs w:val="22"/>
        </w:rPr>
        <w:t>zione, si evidenzia che a consuntivo risulta rispettato il limite di spesa del Fondo, pertanto l’ente risulta nella presente condizione:</w:t>
      </w:r>
    </w:p>
    <w:p w:rsidR="003620F3" w:rsidRDefault="003620F3">
      <w:pPr>
        <w:pStyle w:val="Standard"/>
        <w:autoSpaceDE w:val="0"/>
        <w:spacing w:after="0"/>
        <w:ind w:left="1077" w:firstLine="0"/>
        <w:rPr>
          <w:rFonts w:cs="Calibri"/>
          <w:color w:val="FF3333"/>
          <w:szCs w:val="22"/>
        </w:rPr>
      </w:pPr>
    </w:p>
    <w:p w:rsidR="003620F3" w:rsidRDefault="002734FA">
      <w:pPr>
        <w:pStyle w:val="Standard"/>
        <w:autoSpaceDE w:val="0"/>
        <w:spacing w:after="0"/>
        <w:ind w:left="1077" w:firstLine="0"/>
        <w:rPr>
          <w:rFonts w:cs="Calibri"/>
          <w:color w:val="000000"/>
          <w:szCs w:val="22"/>
        </w:rPr>
      </w:pPr>
      <w:r>
        <w:rPr>
          <w:rFonts w:cs="Calibri"/>
          <w:color w:val="000000"/>
          <w:szCs w:val="22"/>
        </w:rPr>
        <w:t>Dal prospetto relativo alla spesa determinata a consuntivo, le risorse risultano utilizzate integralmente, pertanto no</w:t>
      </w:r>
      <w:r>
        <w:rPr>
          <w:rFonts w:cs="Calibri"/>
          <w:color w:val="000000"/>
          <w:szCs w:val="22"/>
        </w:rPr>
        <w:t>n si sono realizzate economie.</w:t>
      </w:r>
    </w:p>
    <w:p w:rsidR="003620F3" w:rsidRDefault="002734FA">
      <w:pPr>
        <w:pStyle w:val="Standard"/>
        <w:autoSpaceDE w:val="0"/>
        <w:spacing w:after="0"/>
        <w:ind w:left="1077" w:firstLine="0"/>
        <w:rPr>
          <w:rFonts w:cs="Calibri"/>
          <w:color w:val="000000"/>
          <w:szCs w:val="22"/>
        </w:rPr>
      </w:pPr>
      <w:r>
        <w:rPr>
          <w:rFonts w:cs="Calibri"/>
          <w:color w:val="000000"/>
          <w:szCs w:val="22"/>
        </w:rPr>
        <w:t>Tali risorse sono al netto delle voci esterne al Fondo (Incentivo per Progettazione, Art. 92 D.lgs 163/2006 e compresi ISTAT e altro), poiché gli eventuali residui che si dovessero creare, relativi a tali incrementi, non cost</w:t>
      </w:r>
      <w:r>
        <w:rPr>
          <w:rFonts w:cs="Calibri"/>
          <w:color w:val="000000"/>
          <w:szCs w:val="22"/>
        </w:rPr>
        <w:t>ituiscono economie da rinviare all'anno successivo, bensì economia di bilancio.</w:t>
      </w:r>
    </w:p>
    <w:p w:rsidR="003620F3" w:rsidRDefault="003620F3">
      <w:pPr>
        <w:pStyle w:val="Standard"/>
        <w:autoSpaceDE w:val="0"/>
        <w:spacing w:after="0"/>
        <w:ind w:left="1077" w:firstLine="0"/>
        <w:rPr>
          <w:rFonts w:cs="Calibri"/>
          <w:color w:val="FF3333"/>
          <w:szCs w:val="22"/>
        </w:rPr>
      </w:pPr>
    </w:p>
    <w:p w:rsidR="003620F3" w:rsidRDefault="003620F3">
      <w:pPr>
        <w:pStyle w:val="Standard"/>
        <w:autoSpaceDE w:val="0"/>
        <w:spacing w:after="0"/>
        <w:ind w:left="1077" w:firstLine="0"/>
      </w:pPr>
    </w:p>
    <w:p w:rsidR="003620F3" w:rsidRDefault="003620F3">
      <w:pPr>
        <w:pStyle w:val="Standard"/>
        <w:autoSpaceDE w:val="0"/>
        <w:spacing w:after="0"/>
        <w:ind w:left="1077" w:firstLine="0"/>
      </w:pPr>
    </w:p>
    <w:p w:rsidR="003620F3" w:rsidRDefault="003620F3">
      <w:pPr>
        <w:pStyle w:val="Standard"/>
        <w:autoSpaceDE w:val="0"/>
        <w:spacing w:after="0"/>
        <w:ind w:left="1077" w:firstLine="0"/>
        <w:rPr>
          <w:szCs w:val="22"/>
        </w:rPr>
      </w:pPr>
    </w:p>
    <w:p w:rsidR="003620F3" w:rsidRDefault="002734FA">
      <w:pPr>
        <w:pStyle w:val="Standard"/>
        <w:autoSpaceDE w:val="0"/>
        <w:spacing w:after="0"/>
        <w:ind w:left="1077" w:hanging="1077"/>
        <w:rPr>
          <w:rFonts w:cs="Calibri"/>
          <w:color w:val="FFFFFF"/>
          <w:sz w:val="28"/>
          <w:szCs w:val="28"/>
          <w:shd w:val="clear" w:color="auto" w:fill="0066CC"/>
        </w:rPr>
      </w:pPr>
      <w:r>
        <w:rPr>
          <w:rFonts w:cs="Calibri"/>
          <w:color w:val="FFFFFF"/>
          <w:sz w:val="28"/>
          <w:szCs w:val="28"/>
          <w:shd w:val="clear" w:color="auto" w:fill="0066CC"/>
        </w:rPr>
        <w:t>Sezione III – Verifica delle disponibilità finanziarie dell'Amministrazione ai fini della copertura delle diverse voci di destinazione del Fondo</w:t>
      </w:r>
    </w:p>
    <w:p w:rsidR="003620F3" w:rsidRDefault="003620F3">
      <w:pPr>
        <w:pStyle w:val="Standard"/>
        <w:autoSpaceDE w:val="0"/>
        <w:spacing w:after="0"/>
        <w:ind w:left="1077" w:firstLine="0"/>
        <w:rPr>
          <w:szCs w:val="22"/>
        </w:rPr>
      </w:pPr>
    </w:p>
    <w:p w:rsidR="003620F3" w:rsidRDefault="002734FA">
      <w:pPr>
        <w:pStyle w:val="Standard"/>
        <w:autoSpaceDE w:val="0"/>
        <w:spacing w:after="0"/>
        <w:ind w:left="1077" w:firstLine="0"/>
      </w:pPr>
      <w:r>
        <w:rPr>
          <w:szCs w:val="22"/>
        </w:rPr>
        <w:t xml:space="preserve">Si rappresenta che, in </w:t>
      </w:r>
      <w:r>
        <w:rPr>
          <w:szCs w:val="22"/>
        </w:rPr>
        <w:t>ossequio ai disposti di cui all'art. 48, comma 4, ultimo periodo, del D.Lgs. n.165/2001, l'Ente ha autorizzato, con distinta indicazione dei mezzi di copertura, le spese relative al contratto collettivo decentrato integrativo – parte economica anno 2016, a</w:t>
      </w:r>
      <w:r>
        <w:rPr>
          <w:szCs w:val="22"/>
        </w:rPr>
        <w:t>ttraverso le procedure di approvazione del bilancio di previsione dell'esercizio 2016. La spesa derivante dalla contrattazione decentrata trova copertura sulla disponibilità delle pertinenti risorse previste nel bilancio di previsione 2016, approvato con d</w:t>
      </w:r>
      <w:r>
        <w:rPr>
          <w:szCs w:val="22"/>
        </w:rPr>
        <w:t>eliberazione consiliare n. 18 del 20.07.2016 esecutiva.</w:t>
      </w:r>
    </w:p>
    <w:p w:rsidR="003620F3" w:rsidRDefault="003620F3">
      <w:pPr>
        <w:pStyle w:val="Standard"/>
        <w:autoSpaceDE w:val="0"/>
        <w:spacing w:after="0"/>
        <w:ind w:left="1077" w:firstLine="0"/>
        <w:rPr>
          <w:szCs w:val="22"/>
        </w:rPr>
      </w:pPr>
    </w:p>
    <w:p w:rsidR="003620F3" w:rsidRDefault="002734FA">
      <w:pPr>
        <w:pStyle w:val="Standard"/>
        <w:autoSpaceDE w:val="0"/>
        <w:spacing w:after="0"/>
        <w:ind w:left="1077" w:firstLine="0"/>
        <w:rPr>
          <w:szCs w:val="22"/>
        </w:rPr>
      </w:pPr>
      <w:r>
        <w:rPr>
          <w:szCs w:val="22"/>
        </w:rPr>
        <w:t>L'ente non versa in condizioni deficitarie.</w:t>
      </w:r>
    </w:p>
    <w:p w:rsidR="003620F3" w:rsidRDefault="003620F3">
      <w:pPr>
        <w:pStyle w:val="Standard"/>
        <w:autoSpaceDE w:val="0"/>
        <w:spacing w:after="0"/>
        <w:ind w:left="1077" w:firstLine="0"/>
        <w:rPr>
          <w:szCs w:val="22"/>
        </w:rPr>
      </w:pPr>
    </w:p>
    <w:p w:rsidR="003620F3" w:rsidRDefault="002734FA">
      <w:pPr>
        <w:pStyle w:val="Standard"/>
        <w:autoSpaceDE w:val="0"/>
        <w:spacing w:after="0"/>
        <w:ind w:left="1077" w:firstLine="0"/>
        <w:rPr>
          <w:szCs w:val="22"/>
        </w:rPr>
      </w:pPr>
      <w:r>
        <w:rPr>
          <w:szCs w:val="22"/>
        </w:rPr>
        <w:t>La costituzione del fondo per le risorse decentrate risulta compatibile con i vincoli in tema di contenimento della spesa del personale.</w:t>
      </w:r>
    </w:p>
    <w:p w:rsidR="003620F3" w:rsidRDefault="003620F3">
      <w:pPr>
        <w:pStyle w:val="Standard"/>
        <w:autoSpaceDE w:val="0"/>
        <w:spacing w:after="0"/>
        <w:ind w:left="1077" w:firstLine="0"/>
        <w:rPr>
          <w:szCs w:val="22"/>
        </w:rPr>
      </w:pPr>
    </w:p>
    <w:p w:rsidR="003620F3" w:rsidRDefault="002734FA">
      <w:pPr>
        <w:pStyle w:val="Standard"/>
        <w:autoSpaceDE w:val="0"/>
        <w:spacing w:after="0"/>
        <w:ind w:left="1077" w:firstLine="0"/>
      </w:pPr>
      <w:r>
        <w:rPr>
          <w:szCs w:val="22"/>
        </w:rPr>
        <w:t>Il totale del fo</w:t>
      </w:r>
      <w:r>
        <w:rPr>
          <w:szCs w:val="22"/>
        </w:rPr>
        <w:t>ndo come da determinazione n. 50 del 07.09.2016 è impegnato ai capitoli del bilancio 2016/20</w:t>
      </w:r>
      <w:r>
        <w:rPr>
          <w:color w:val="000000"/>
          <w:szCs w:val="22"/>
        </w:rPr>
        <w:t>18 e precisamente agli impegni n. 134/2016 e n. 153 sub 2/2011.</w:t>
      </w:r>
    </w:p>
    <w:p w:rsidR="003620F3" w:rsidRDefault="003620F3">
      <w:pPr>
        <w:pStyle w:val="Standard"/>
        <w:autoSpaceDE w:val="0"/>
        <w:spacing w:after="0"/>
        <w:ind w:left="1077" w:firstLine="0"/>
        <w:rPr>
          <w:color w:val="FF0000"/>
          <w:szCs w:val="22"/>
        </w:rPr>
      </w:pPr>
    </w:p>
    <w:p w:rsidR="003620F3" w:rsidRDefault="002734FA">
      <w:pPr>
        <w:pStyle w:val="Standard"/>
        <w:autoSpaceDE w:val="0"/>
        <w:spacing w:after="0"/>
        <w:ind w:left="1077" w:firstLine="0"/>
        <w:rPr>
          <w:color w:val="000000"/>
          <w:szCs w:val="22"/>
        </w:rPr>
      </w:pPr>
      <w:r>
        <w:rPr>
          <w:color w:val="000000"/>
          <w:szCs w:val="22"/>
        </w:rPr>
        <w:lastRenderedPageBreak/>
        <w:t xml:space="preserve">Con riferimento al  fondo per il lavoro straordinario di cui all’art. 14 comma 1 CCNL 1/4/1999, si </w:t>
      </w:r>
      <w:r>
        <w:rPr>
          <w:color w:val="000000"/>
          <w:szCs w:val="22"/>
        </w:rPr>
        <w:t>dà atto che la somma stanziata rimane fissata, come dall’anno 2000, nell’importo di  € 1.252,41.</w:t>
      </w:r>
    </w:p>
    <w:p w:rsidR="003620F3" w:rsidRDefault="003620F3">
      <w:pPr>
        <w:pStyle w:val="Standard"/>
        <w:autoSpaceDE w:val="0"/>
        <w:spacing w:after="0"/>
        <w:ind w:left="1077" w:firstLine="0"/>
        <w:rPr>
          <w:color w:val="000000"/>
          <w:szCs w:val="22"/>
        </w:rPr>
      </w:pPr>
    </w:p>
    <w:p w:rsidR="003620F3" w:rsidRDefault="002734FA">
      <w:pPr>
        <w:pStyle w:val="Standard"/>
        <w:autoSpaceDE w:val="0"/>
        <w:spacing w:after="0"/>
        <w:ind w:left="1077" w:firstLine="0"/>
        <w:rPr>
          <w:color w:val="000000"/>
          <w:szCs w:val="22"/>
        </w:rPr>
      </w:pPr>
      <w:r>
        <w:rPr>
          <w:color w:val="000000"/>
          <w:szCs w:val="22"/>
        </w:rPr>
        <w:t xml:space="preserve">Il Fondo ed il relativo Capitolo di spesa sono  stati costituiti al netto degli oneri riflessi. I relativi oneri previdenziali/assistenziali e l'IRAP trovano </w:t>
      </w:r>
      <w:r>
        <w:rPr>
          <w:color w:val="000000"/>
          <w:szCs w:val="22"/>
        </w:rPr>
        <w:t>copertura  finanziaria rispettivamente al Capitolo 70,2 e 137,2 del bilancio di previsione 2016/2018.</w:t>
      </w:r>
    </w:p>
    <w:p w:rsidR="003620F3" w:rsidRDefault="003620F3">
      <w:pPr>
        <w:pStyle w:val="Standard"/>
        <w:autoSpaceDE w:val="0"/>
        <w:spacing w:after="0"/>
        <w:ind w:left="1077" w:firstLine="0"/>
        <w:rPr>
          <w:color w:val="000000"/>
          <w:szCs w:val="22"/>
        </w:rPr>
      </w:pPr>
    </w:p>
    <w:p w:rsidR="003620F3" w:rsidRDefault="002734FA">
      <w:pPr>
        <w:pStyle w:val="Standard"/>
        <w:autoSpaceDE w:val="0"/>
        <w:spacing w:after="0"/>
        <w:ind w:left="1077" w:firstLine="0"/>
        <w:rPr>
          <w:color w:val="000000"/>
          <w:szCs w:val="22"/>
        </w:rPr>
      </w:pPr>
      <w:r>
        <w:rPr>
          <w:color w:val="000000"/>
          <w:szCs w:val="22"/>
        </w:rPr>
        <w:t>Le risorse da destinare al personale con tipologia di contratto di lavoro flessibile e di personale comandato, finanziate dalla contrattazione integrativ</w:t>
      </w:r>
      <w:r>
        <w:rPr>
          <w:color w:val="000000"/>
          <w:szCs w:val="22"/>
        </w:rPr>
        <w:t>a, trovano capienza nel medesimo fondo unico e hanno copertura finanziaria nello stesso capitolo stanziato per lo stesso Fondo.</w:t>
      </w:r>
    </w:p>
    <w:p w:rsidR="003620F3" w:rsidRDefault="003620F3">
      <w:pPr>
        <w:pStyle w:val="Standard"/>
        <w:autoSpaceDE w:val="0"/>
        <w:spacing w:after="0"/>
        <w:ind w:left="1077" w:firstLine="0"/>
        <w:rPr>
          <w:color w:val="000000"/>
          <w:szCs w:val="22"/>
        </w:rPr>
      </w:pPr>
    </w:p>
    <w:p w:rsidR="003620F3" w:rsidRDefault="002734FA">
      <w:pPr>
        <w:pStyle w:val="Standard"/>
        <w:autoSpaceDE w:val="0"/>
        <w:spacing w:after="0"/>
        <w:ind w:left="1077" w:firstLine="0"/>
        <w:rPr>
          <w:color w:val="000000"/>
          <w:szCs w:val="22"/>
        </w:rPr>
      </w:pPr>
      <w:r>
        <w:rPr>
          <w:color w:val="000000"/>
          <w:szCs w:val="22"/>
        </w:rPr>
        <w:t>Non sono presenti nell'Ente, relativamente al personale, ulteriori tipologie contrattuali e non vengono distribuite altre risor</w:t>
      </w:r>
      <w:r>
        <w:rPr>
          <w:color w:val="000000"/>
          <w:szCs w:val="22"/>
        </w:rPr>
        <w:t>se a carattere accessorio.</w:t>
      </w:r>
    </w:p>
    <w:p w:rsidR="003620F3" w:rsidRDefault="003620F3">
      <w:pPr>
        <w:pStyle w:val="Standard"/>
        <w:autoSpaceDE w:val="0"/>
        <w:spacing w:after="0"/>
        <w:rPr>
          <w:color w:val="FF3333"/>
          <w:szCs w:val="22"/>
          <w:shd w:val="clear" w:color="auto" w:fill="FFFF00"/>
        </w:rPr>
      </w:pPr>
    </w:p>
    <w:p w:rsidR="003620F3" w:rsidRDefault="002734FA">
      <w:pPr>
        <w:pStyle w:val="Standard"/>
        <w:autoSpaceDE w:val="0"/>
        <w:spacing w:after="0"/>
        <w:ind w:left="1077" w:firstLine="0"/>
        <w:rPr>
          <w:color w:val="000000"/>
          <w:szCs w:val="22"/>
        </w:rPr>
      </w:pPr>
      <w:r>
        <w:rPr>
          <w:color w:val="000000"/>
          <w:szCs w:val="22"/>
        </w:rPr>
        <w:t xml:space="preserve">- Determinare una media di risorse pro-capite. Es. Nell’ente sono presenti n. 5 dipendenti (escluse le PO). Una media pro-capite di risorse è pari ad € 1.494,21. Tale modalità di calcolo è stata utilizzata per la determinazione </w:t>
      </w:r>
      <w:r>
        <w:rPr>
          <w:color w:val="000000"/>
          <w:szCs w:val="22"/>
        </w:rPr>
        <w:t>della quota pro-capite da destinare all'Unione dei Comuni per il comando del Vigile urbano per 18 ore (quota riproporzionata quindi in € 747,11). Tale importo è comprensivo della quota di straordinario dell'anno precedente.</w:t>
      </w:r>
    </w:p>
    <w:p w:rsidR="003620F3" w:rsidRDefault="003620F3">
      <w:pPr>
        <w:pStyle w:val="Standard"/>
        <w:autoSpaceDE w:val="0"/>
        <w:spacing w:after="0"/>
        <w:ind w:left="1077" w:firstLine="0"/>
        <w:rPr>
          <w:color w:val="FF3333"/>
          <w:szCs w:val="22"/>
          <w:shd w:val="clear" w:color="auto" w:fill="FFFF00"/>
        </w:rPr>
      </w:pPr>
    </w:p>
    <w:p w:rsidR="003620F3" w:rsidRDefault="003620F3">
      <w:pPr>
        <w:pStyle w:val="Standard"/>
        <w:autoSpaceDE w:val="0"/>
        <w:spacing w:after="0"/>
        <w:ind w:left="1077" w:firstLine="0"/>
        <w:rPr>
          <w:color w:val="FF3333"/>
          <w:szCs w:val="22"/>
          <w:shd w:val="clear" w:color="auto" w:fill="FFFF00"/>
        </w:rPr>
      </w:pPr>
    </w:p>
    <w:p w:rsidR="003620F3" w:rsidRDefault="003620F3">
      <w:pPr>
        <w:pStyle w:val="PuntoElencoLettere"/>
        <w:numPr>
          <w:ilvl w:val="0"/>
          <w:numId w:val="0"/>
        </w:numPr>
        <w:tabs>
          <w:tab w:val="clear" w:pos="-873"/>
          <w:tab w:val="left" w:pos="2214"/>
        </w:tabs>
        <w:ind w:left="1080" w:hanging="360"/>
      </w:pPr>
    </w:p>
    <w:p w:rsidR="003620F3" w:rsidRDefault="003620F3">
      <w:pPr>
        <w:pStyle w:val="PuntoElencoLettere"/>
        <w:numPr>
          <w:ilvl w:val="0"/>
          <w:numId w:val="0"/>
        </w:numPr>
        <w:tabs>
          <w:tab w:val="clear" w:pos="-873"/>
          <w:tab w:val="left" w:pos="2214"/>
        </w:tabs>
        <w:ind w:left="1080" w:hanging="360"/>
      </w:pPr>
    </w:p>
    <w:sectPr w:rsidR="003620F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34FA">
      <w:pPr>
        <w:rPr>
          <w:rFonts w:hint="eastAsia"/>
        </w:rPr>
      </w:pPr>
      <w:r>
        <w:separator/>
      </w:r>
    </w:p>
  </w:endnote>
  <w:endnote w:type="continuationSeparator" w:id="0">
    <w:p w:rsidR="00000000" w:rsidRDefault="002734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StarSymbol">
    <w:charset w:val="00"/>
    <w:family w:val="auto"/>
    <w:pitch w:val="default"/>
  </w:font>
  <w:font w:name="Garamond">
    <w:panose1 w:val="02020404030301010803"/>
    <w:charset w:val="00"/>
    <w:family w:val="roman"/>
    <w:pitch w:val="variable"/>
    <w:sig w:usb0="00000287" w:usb1="00000000" w:usb2="00000000" w:usb3="00000000" w:csb0="0000009F" w:csb1="00000000"/>
  </w:font>
  <w:font w:name="Times-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34FA">
      <w:pPr>
        <w:rPr>
          <w:rFonts w:hint="eastAsia"/>
        </w:rPr>
      </w:pPr>
      <w:r>
        <w:rPr>
          <w:color w:val="000000"/>
        </w:rPr>
        <w:separator/>
      </w:r>
    </w:p>
  </w:footnote>
  <w:footnote w:type="continuationSeparator" w:id="0">
    <w:p w:rsidR="00000000" w:rsidRDefault="002734F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323"/>
    <w:multiLevelType w:val="multilevel"/>
    <w:tmpl w:val="6EEA9E30"/>
    <w:styleLink w:val="WW8Num14"/>
    <w:lvl w:ilvl="0">
      <w:numFmt w:val="bullet"/>
      <w:lvlText w:val=""/>
      <w:lvlJc w:val="left"/>
      <w:pPr>
        <w:ind w:left="27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907749D"/>
    <w:multiLevelType w:val="multilevel"/>
    <w:tmpl w:val="F2740614"/>
    <w:styleLink w:val="WW8Num7"/>
    <w:lvl w:ilvl="0">
      <w:numFmt w:val="bullet"/>
      <w:lvlText w:val=""/>
      <w:lvlJc w:val="left"/>
      <w:pPr>
        <w:ind w:left="24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 w15:restartNumberingAfterBreak="0">
    <w:nsid w:val="0FD45E7C"/>
    <w:multiLevelType w:val="multilevel"/>
    <w:tmpl w:val="2222C540"/>
    <w:styleLink w:val="WW8Num15"/>
    <w:lvl w:ilvl="0">
      <w:numFmt w:val="bullet"/>
      <w:pStyle w:val="ELENCONUMERATO"/>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203D692C"/>
    <w:multiLevelType w:val="multilevel"/>
    <w:tmpl w:val="0AE0A578"/>
    <w:styleLink w:val="WW8Num26"/>
    <w:lvl w:ilvl="0">
      <w:numFmt w:val="bullet"/>
      <w:lvlText w:val=""/>
      <w:lvlJc w:val="left"/>
      <w:pPr>
        <w:ind w:left="644"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1F4D9E"/>
    <w:multiLevelType w:val="multilevel"/>
    <w:tmpl w:val="CAA0D98A"/>
    <w:styleLink w:val="WW8Num13"/>
    <w:lvl w:ilvl="0">
      <w:numFmt w:val="bullet"/>
      <w:lvlText w:val="-"/>
      <w:lvlJc w:val="left"/>
      <w:pPr>
        <w:ind w:left="144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C021BB"/>
    <w:multiLevelType w:val="multilevel"/>
    <w:tmpl w:val="7506FA06"/>
    <w:styleLink w:val="WW8Num19"/>
    <w:lvl w:ilvl="0">
      <w:numFmt w:val="bullet"/>
      <w:pStyle w:val="ELENCOPUNTATO"/>
      <w:lvlText w:val=""/>
      <w:lvlJc w:val="left"/>
      <w:pPr>
        <w:ind w:left="644"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F5A48A5"/>
    <w:multiLevelType w:val="multilevel"/>
    <w:tmpl w:val="42E850C4"/>
    <w:styleLink w:val="WW8Num4"/>
    <w:lvl w:ilvl="0">
      <w:start w:val="3"/>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B60D44"/>
    <w:multiLevelType w:val="multilevel"/>
    <w:tmpl w:val="2C1EEF78"/>
    <w:styleLink w:val="WW8Num3"/>
    <w:lvl w:ilvl="0">
      <w:start w:val="1"/>
      <w:numFmt w:val="upperRoman"/>
      <w:lvlText w:val="%1."/>
      <w:lvlJc w:val="right"/>
      <w:pPr>
        <w:ind w:left="80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3D95587"/>
    <w:multiLevelType w:val="multilevel"/>
    <w:tmpl w:val="E6BAF38A"/>
    <w:styleLink w:val="WW8Num20"/>
    <w:lvl w:ilvl="0">
      <w:start w:val="1"/>
      <w:numFmt w:val="decimal"/>
      <w:pStyle w:val="PuntoElencoLettere"/>
      <w:lvlText w:val="%1."/>
      <w:lvlJc w:val="left"/>
      <w:pPr>
        <w:ind w:left="360" w:hanging="360"/>
      </w:pPr>
    </w:lvl>
    <w:lvl w:ilvl="1">
      <w:numFmt w:val="bullet"/>
      <w:lvlText w:val=""/>
      <w:lvlJc w:val="left"/>
      <w:pPr>
        <w:ind w:left="2149" w:hanging="360"/>
      </w:pPr>
      <w:rPr>
        <w:rFonts w:ascii="Symbol" w:hAnsi="Symbol"/>
      </w:rPr>
    </w:lvl>
    <w:lvl w:ilvl="2">
      <w:numFmt w:val="bullet"/>
      <w:lvlText w:val="-"/>
      <w:lvlJc w:val="left"/>
      <w:pPr>
        <w:ind w:left="3049" w:hanging="360"/>
      </w:pPr>
      <w:rPr>
        <w:rFonts w:ascii="Calibri" w:eastAsia="Times New Roman" w:hAnsi="Calibri" w:cs="Times New Roma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4805567"/>
    <w:multiLevelType w:val="multilevel"/>
    <w:tmpl w:val="333AB5B4"/>
    <w:styleLink w:val="WW8Num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48E6414"/>
    <w:multiLevelType w:val="multilevel"/>
    <w:tmpl w:val="62329D66"/>
    <w:styleLink w:val="WW8Num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960E80"/>
    <w:multiLevelType w:val="multilevel"/>
    <w:tmpl w:val="09FC7EF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61346DD"/>
    <w:multiLevelType w:val="multilevel"/>
    <w:tmpl w:val="7F961DE6"/>
    <w:styleLink w:val="WW8Num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6551F63"/>
    <w:multiLevelType w:val="multilevel"/>
    <w:tmpl w:val="95A41898"/>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4" w15:restartNumberingAfterBreak="0">
    <w:nsid w:val="38570FD9"/>
    <w:multiLevelType w:val="multilevel"/>
    <w:tmpl w:val="68A4C4F4"/>
    <w:styleLink w:val="WWNum1"/>
    <w:lvl w:ilvl="0">
      <w:start w:val="1"/>
      <w:numFmt w:val="decimal"/>
      <w:lvlText w:val="%1."/>
      <w:lvlJc w:val="left"/>
      <w:pPr>
        <w:ind w:left="720" w:hanging="360"/>
      </w:pPr>
      <w:rPr>
        <w:rFonts w:ascii="Liberation Serif" w:hAnsi="Liberation Serif"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581ED8"/>
    <w:multiLevelType w:val="multilevel"/>
    <w:tmpl w:val="F0602308"/>
    <w:styleLink w:val="WW8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9C50176"/>
    <w:multiLevelType w:val="multilevel"/>
    <w:tmpl w:val="5C4C6300"/>
    <w:styleLink w:val="WW8Num11"/>
    <w:lvl w:ilvl="0">
      <w:start w:val="1"/>
      <w:numFmt w:val="lowerLetter"/>
      <w:lvlText w:val="%1)"/>
      <w:lvlJc w:val="left"/>
      <w:pPr>
        <w:ind w:left="780" w:hanging="420"/>
      </w:pPr>
    </w:lvl>
    <w:lvl w:ilvl="1">
      <w:start w:val="6"/>
      <w:numFmt w:val="decimal"/>
      <w:lvlText w:val="%2."/>
      <w:lvlJc w:val="left"/>
      <w:pPr>
        <w:ind w:left="340" w:hanging="340"/>
      </w:pPr>
    </w:lvl>
    <w:lvl w:ilvl="2">
      <w:numFmt w:val="bullet"/>
      <w:lvlText w:val="-"/>
      <w:lvlJc w:val="left"/>
      <w:pPr>
        <w:ind w:left="2340" w:hanging="36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4126D9"/>
    <w:multiLevelType w:val="multilevel"/>
    <w:tmpl w:val="0BE8354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EE5393"/>
    <w:multiLevelType w:val="multilevel"/>
    <w:tmpl w:val="F41EECF2"/>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9" w15:restartNumberingAfterBreak="0">
    <w:nsid w:val="47D757D2"/>
    <w:multiLevelType w:val="multilevel"/>
    <w:tmpl w:val="C7D830D4"/>
    <w:styleLink w:val="WW8Num2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54D831B2"/>
    <w:multiLevelType w:val="multilevel"/>
    <w:tmpl w:val="560A5028"/>
    <w:styleLink w:val="WW8Num8"/>
    <w:lvl w:ilvl="0">
      <w:start w:val="1"/>
      <w:numFmt w:val="upperRoman"/>
      <w:lvlText w:val="Parte %1 -"/>
      <w:lvlJc w:val="left"/>
      <w:pPr>
        <w:ind w:left="1134" w:hanging="1134"/>
      </w:pPr>
    </w:lvl>
    <w:lvl w:ilvl="1">
      <w:start w:val="1"/>
      <w:numFmt w:val="decimal"/>
      <w:lvlText w:val="%1.%2 -"/>
      <w:lvlJc w:val="left"/>
      <w:pPr>
        <w:ind w:left="357" w:hanging="357"/>
      </w:pPr>
    </w:lvl>
    <w:lvl w:ilvl="2">
      <w:start w:val="1"/>
      <w:numFmt w:val="decimal"/>
      <w:lvlText w:val="%1.%2.%3 - "/>
      <w:lvlJc w:val="left"/>
      <w:pPr>
        <w:ind w:left="357" w:hanging="357"/>
      </w:pPr>
    </w:lvl>
    <w:lvl w:ilvl="3">
      <w:start w:val="1"/>
      <w:numFmt w:val="decimal"/>
      <w:lvlText w:val="%1.%2.%3.%4. - "/>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21" w15:restartNumberingAfterBreak="0">
    <w:nsid w:val="594F0714"/>
    <w:multiLevelType w:val="multilevel"/>
    <w:tmpl w:val="86D0619C"/>
    <w:styleLink w:val="WW8Num22"/>
    <w:lvl w:ilvl="0">
      <w:start w:val="1"/>
      <w:numFmt w:val="decimal"/>
      <w:lvlText w:val="%1."/>
      <w:lvlJc w:val="left"/>
      <w:pPr>
        <w:ind w:left="757" w:hanging="397"/>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B4A6F22"/>
    <w:multiLevelType w:val="multilevel"/>
    <w:tmpl w:val="63FC2E68"/>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C25C8"/>
    <w:multiLevelType w:val="multilevel"/>
    <w:tmpl w:val="2272BF6C"/>
    <w:styleLink w:val="WW8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660C19DE"/>
    <w:multiLevelType w:val="multilevel"/>
    <w:tmpl w:val="05A29BB0"/>
    <w:styleLink w:val="WW8Num18"/>
    <w:lvl w:ilvl="0">
      <w:start w:val="1"/>
      <w:numFmt w:val="lowerLetter"/>
      <w:pStyle w:val="ELENCOPTORIENTRO"/>
      <w:lvlText w:val="%1)"/>
      <w:lvlJc w:val="left"/>
      <w:pPr>
        <w:ind w:left="757" w:hanging="360"/>
      </w:pPr>
    </w:lvl>
    <w:lvl w:ilvl="1">
      <w:start w:val="3"/>
      <w:numFmt w:val="decimal"/>
      <w:lvlText w:val="%2."/>
      <w:lvlJc w:val="left"/>
      <w:pPr>
        <w:ind w:left="397" w:hanging="397"/>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675B5B9B"/>
    <w:multiLevelType w:val="multilevel"/>
    <w:tmpl w:val="11B25EC2"/>
    <w:styleLink w:val="WW8Num16"/>
    <w:lvl w:ilvl="0">
      <w:numFmt w:val="bullet"/>
      <w:pStyle w:val="ELENCOLETTERE"/>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26" w15:restartNumberingAfterBreak="0">
    <w:nsid w:val="6DF46FBC"/>
    <w:multiLevelType w:val="multilevel"/>
    <w:tmpl w:val="B1DA6C12"/>
    <w:styleLink w:val="WW8Num10"/>
    <w:lvl w:ilvl="0">
      <w:numFmt w:val="bullet"/>
      <w:lvlText w:val=""/>
      <w:lvlJc w:val="left"/>
      <w:pPr>
        <w:ind w:left="24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7" w15:restartNumberingAfterBreak="0">
    <w:nsid w:val="6E3E0AA3"/>
    <w:multiLevelType w:val="multilevel"/>
    <w:tmpl w:val="613A73A4"/>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1DE27F7"/>
    <w:multiLevelType w:val="multilevel"/>
    <w:tmpl w:val="C4AC839A"/>
    <w:styleLink w:val="WW8Num6"/>
    <w:lvl w:ilvl="0">
      <w:numFmt w:val="bullet"/>
      <w:lvlText w:val=""/>
      <w:lvlJc w:val="left"/>
      <w:pPr>
        <w:ind w:left="13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0B1F48"/>
    <w:multiLevelType w:val="multilevel"/>
    <w:tmpl w:val="6C265DBC"/>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30" w15:restartNumberingAfterBreak="0">
    <w:nsid w:val="7B617C3B"/>
    <w:multiLevelType w:val="multilevel"/>
    <w:tmpl w:val="6D585976"/>
    <w:styleLink w:val="WW8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F13618B"/>
    <w:multiLevelType w:val="multilevel"/>
    <w:tmpl w:val="BF6069CE"/>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9"/>
  </w:num>
  <w:num w:numId="3">
    <w:abstractNumId w:val="7"/>
  </w:num>
  <w:num w:numId="4">
    <w:abstractNumId w:val="6"/>
  </w:num>
  <w:num w:numId="5">
    <w:abstractNumId w:val="27"/>
  </w:num>
  <w:num w:numId="6">
    <w:abstractNumId w:val="28"/>
  </w:num>
  <w:num w:numId="7">
    <w:abstractNumId w:val="1"/>
  </w:num>
  <w:num w:numId="8">
    <w:abstractNumId w:val="20"/>
  </w:num>
  <w:num w:numId="9">
    <w:abstractNumId w:val="10"/>
  </w:num>
  <w:num w:numId="10">
    <w:abstractNumId w:val="26"/>
  </w:num>
  <w:num w:numId="11">
    <w:abstractNumId w:val="16"/>
  </w:num>
  <w:num w:numId="12">
    <w:abstractNumId w:val="12"/>
  </w:num>
  <w:num w:numId="13">
    <w:abstractNumId w:val="4"/>
  </w:num>
  <w:num w:numId="14">
    <w:abstractNumId w:val="0"/>
  </w:num>
  <w:num w:numId="15">
    <w:abstractNumId w:val="2"/>
  </w:num>
  <w:num w:numId="16">
    <w:abstractNumId w:val="25"/>
  </w:num>
  <w:num w:numId="17">
    <w:abstractNumId w:val="22"/>
  </w:num>
  <w:num w:numId="18">
    <w:abstractNumId w:val="24"/>
  </w:num>
  <w:num w:numId="19">
    <w:abstractNumId w:val="5"/>
  </w:num>
  <w:num w:numId="20">
    <w:abstractNumId w:val="8"/>
  </w:num>
  <w:num w:numId="21">
    <w:abstractNumId w:val="19"/>
  </w:num>
  <w:num w:numId="22">
    <w:abstractNumId w:val="21"/>
  </w:num>
  <w:num w:numId="23">
    <w:abstractNumId w:val="31"/>
  </w:num>
  <w:num w:numId="24">
    <w:abstractNumId w:val="18"/>
  </w:num>
  <w:num w:numId="25">
    <w:abstractNumId w:val="23"/>
  </w:num>
  <w:num w:numId="26">
    <w:abstractNumId w:val="3"/>
  </w:num>
  <w:num w:numId="27">
    <w:abstractNumId w:val="17"/>
  </w:num>
  <w:num w:numId="28">
    <w:abstractNumId w:val="15"/>
  </w:num>
  <w:num w:numId="29">
    <w:abstractNumId w:val="14"/>
  </w:num>
  <w:num w:numId="30">
    <w:abstractNumId w:val="11"/>
  </w:num>
  <w:num w:numId="31">
    <w:abstractNumId w:val="13"/>
  </w:num>
  <w:num w:numId="32">
    <w:abstractNumId w:val="8"/>
    <w:lvlOverride w:ilvl="0">
      <w:startOverride w:val="1"/>
    </w:lvlOverride>
  </w:num>
  <w:num w:numId="33">
    <w:abstractNumId w:val="29"/>
  </w:num>
  <w:num w:numId="3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20F3"/>
    <w:rsid w:val="002734FA"/>
    <w:rsid w:val="003620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F14802-6BF5-4EDF-B0FC-F20BB9B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pageBreakBefore/>
      <w:shd w:val="clear" w:color="auto" w:fill="457FAF"/>
      <w:tabs>
        <w:tab w:val="left" w:pos="851"/>
      </w:tabs>
      <w:spacing w:before="860" w:after="860"/>
      <w:ind w:firstLine="0"/>
      <w:outlineLvl w:val="0"/>
    </w:pPr>
    <w:rPr>
      <w:rFonts w:cs="Arial"/>
      <w:b/>
      <w:bCs/>
      <w:color w:val="FFFFFF"/>
      <w:sz w:val="32"/>
      <w:szCs w:val="28"/>
      <w:shd w:val="clear" w:color="auto" w:fill="457FAF"/>
    </w:rPr>
  </w:style>
  <w:style w:type="paragraph" w:styleId="Titolo2">
    <w:name w:val="heading 2"/>
    <w:basedOn w:val="Titolo1"/>
    <w:next w:val="Standard"/>
    <w:pPr>
      <w:pageBreakBefore w:val="0"/>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Standard"/>
    <w:pPr>
      <w:pBdr>
        <w:bottom w:val="none" w:sz="0" w:space="0" w:color="auto"/>
      </w:pBdr>
      <w:spacing w:before="240" w:after="240"/>
      <w:outlineLvl w:val="2"/>
    </w:pPr>
    <w:rPr>
      <w:b w:val="0"/>
      <w:color w:val="FFFFF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20"/>
      <w:ind w:firstLine="567"/>
      <w:jc w:val="both"/>
    </w:pPr>
    <w:rPr>
      <w:rFonts w:ascii="Calibri" w:eastAsia="Times New Roman" w:hAnsi="Calibri" w:cs="Times New Roman"/>
      <w:sz w:val="22"/>
      <w:lang w:bidi="ar-SA"/>
    </w:rPr>
  </w:style>
  <w:style w:type="paragraph" w:customStyle="1" w:styleId="AppyStandard">
    <w:name w:val="AppyStandard"/>
    <w:pPr>
      <w:suppressAutoHyphens/>
      <w:spacing w:before="57" w:after="96"/>
    </w:pPr>
    <w:rPr>
      <w:sz w:val="20"/>
    </w:rPr>
  </w:style>
  <w:style w:type="paragraph" w:customStyle="1" w:styleId="AppyTableContents">
    <w:name w:val="Appy Table Contents"/>
    <w:basedOn w:val="AppyStandard"/>
    <w:pPr>
      <w:suppressLineNumbers/>
      <w:spacing w:before="0" w:after="0"/>
    </w:pPr>
    <w:rPr>
      <w:sz w:val="16"/>
    </w:rPr>
  </w:style>
  <w:style w:type="paragraph" w:customStyle="1" w:styleId="AppyTableHeading">
    <w:name w:val="Appy Table Heading"/>
    <w:pPr>
      <w:suppressLineNumbers/>
      <w:suppressAutoHyphens/>
      <w:jc w:val="center"/>
    </w:pPr>
    <w:rPr>
      <w:b/>
      <w:bCs/>
    </w:rPr>
  </w:style>
  <w:style w:type="paragraph" w:customStyle="1" w:styleId="Heading">
    <w:name w:val="Heading"/>
    <w:basedOn w:val="Standard"/>
    <w:pPr>
      <w:tabs>
        <w:tab w:val="center" w:pos="4819"/>
        <w:tab w:val="right" w:pos="9638"/>
      </w:tabs>
      <w:spacing w:after="0"/>
      <w:ind w:firstLine="0"/>
      <w:jc w:val="left"/>
    </w:pPr>
    <w:rPr>
      <w:rFonts w:ascii="Times New Roman" w:hAnsi="Times New Roman"/>
      <w:sz w:val="24"/>
    </w:rPr>
  </w:style>
  <w:style w:type="paragraph" w:customStyle="1" w:styleId="Textbody">
    <w:name w:val="Text body"/>
    <w:basedOn w:val="Standard"/>
  </w:style>
  <w:style w:type="paragraph" w:styleId="Elenco">
    <w:name w:val="List"/>
    <w:basedOn w:val="Textbody"/>
    <w:rPr>
      <w:rFonts w:cs="Mangal"/>
    </w:rPr>
  </w:style>
  <w:style w:type="paragraph" w:styleId="Didascalia">
    <w:name w:val="caption"/>
    <w:basedOn w:val="Standard"/>
    <w:pPr>
      <w:suppressLineNumbers/>
      <w:spacing w:before="120" w:after="0"/>
    </w:pPr>
    <w:rPr>
      <w:rFonts w:cs="Mangal"/>
      <w:i/>
      <w:iCs/>
      <w:sz w:val="24"/>
    </w:rPr>
  </w:style>
  <w:style w:type="paragraph" w:customStyle="1" w:styleId="Index">
    <w:name w:val="Index"/>
    <w:basedOn w:val="Standard"/>
    <w:pPr>
      <w:suppressLineNumbers/>
    </w:pPr>
    <w:rPr>
      <w:rFonts w:cs="Mangal"/>
    </w:rPr>
  </w:style>
  <w:style w:type="paragraph" w:customStyle="1" w:styleId="PuntoElencoLettere">
    <w:name w:val="PuntoElencoLettere"/>
    <w:basedOn w:val="Standard"/>
    <w:pPr>
      <w:numPr>
        <w:numId w:val="20"/>
      </w:numPr>
      <w:tabs>
        <w:tab w:val="left" w:pos="-873"/>
      </w:tabs>
    </w:pPr>
  </w:style>
  <w:style w:type="paragraph" w:customStyle="1" w:styleId="ELENCOPUNTATO">
    <w:name w:val="ELENCO_PUNTATO"/>
    <w:pPr>
      <w:widowControl/>
      <w:numPr>
        <w:numId w:val="19"/>
      </w:numPr>
      <w:suppressAutoHyphens/>
      <w:jc w:val="both"/>
    </w:pPr>
    <w:rPr>
      <w:rFonts w:ascii="Arial" w:eastAsia="Arial" w:hAnsi="Arial" w:cs="Arial"/>
      <w:sz w:val="20"/>
      <w:szCs w:val="20"/>
      <w:lang w:bidi="ar-SA"/>
    </w:rPr>
  </w:style>
  <w:style w:type="paragraph" w:customStyle="1" w:styleId="CarattereCarattere3">
    <w:name w:val="Carattere Carattere3"/>
    <w:pPr>
      <w:widowControl/>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Arial" w:hAnsi="Arial" w:cs="Arial"/>
      <w:spacing w:val="-2"/>
      <w:sz w:val="18"/>
      <w:szCs w:val="18"/>
      <w:lang w:val="en-GB" w:bidi="ar-SA"/>
    </w:rPr>
  </w:style>
  <w:style w:type="paragraph" w:customStyle="1" w:styleId="CarattereCarattereCarattereCarattereCarattereCarattere">
    <w:name w:val="Carattere Carattere Carattere Carattere Carattere Carattere"/>
    <w:pPr>
      <w:widowControl/>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Arial" w:hAnsi="Arial" w:cs="Arial"/>
      <w:spacing w:val="-2"/>
      <w:sz w:val="18"/>
      <w:szCs w:val="18"/>
      <w:lang w:val="en-GB" w:bidi="ar-SA"/>
    </w:rPr>
  </w:style>
  <w:style w:type="paragraph" w:customStyle="1" w:styleId="Default">
    <w:name w:val="Default"/>
    <w:pPr>
      <w:widowControl/>
      <w:suppressAutoHyphens/>
      <w:autoSpaceDE w:val="0"/>
    </w:pPr>
    <w:rPr>
      <w:rFonts w:ascii="Times New Roman" w:eastAsia="Arial" w:hAnsi="Times New Roman" w:cs="Times New Roman"/>
      <w:color w:val="000000"/>
      <w:lang w:bidi="ar-SA"/>
    </w:r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paragraph" w:customStyle="1" w:styleId="Footnote">
    <w:name w:val="Footnote"/>
    <w:basedOn w:val="Standard"/>
    <w:pPr>
      <w:spacing w:after="0"/>
      <w:ind w:firstLine="0"/>
      <w:jc w:val="left"/>
    </w:pPr>
    <w:rPr>
      <w:rFonts w:ascii="Times New Roman" w:hAnsi="Times New Roman"/>
      <w:sz w:val="20"/>
      <w:szCs w:val="20"/>
    </w:rPr>
  </w:style>
  <w:style w:type="paragraph" w:customStyle="1" w:styleId="CarattereCarattere">
    <w:name w:val="Carattere Carattere"/>
    <w:basedOn w:val="Standard"/>
    <w:pPr>
      <w:spacing w:after="160" w:line="240" w:lineRule="exact"/>
      <w:ind w:firstLine="0"/>
    </w:pPr>
    <w:rPr>
      <w:rFonts w:ascii="Tahoma" w:eastAsia="SimSun, 宋体" w:hAnsi="Tahoma"/>
      <w:sz w:val="20"/>
      <w:szCs w:val="20"/>
      <w:lang w:val="en-US"/>
    </w:rPr>
  </w:style>
  <w:style w:type="paragraph" w:customStyle="1" w:styleId="tabella">
    <w:name w:val="tabella"/>
    <w:basedOn w:val="Standard"/>
    <w:pPr>
      <w:spacing w:after="0"/>
      <w:ind w:firstLine="0"/>
    </w:pPr>
    <w:rPr>
      <w:rFonts w:ascii="Times New Roman" w:hAnsi="Times New Roman"/>
      <w:sz w:val="24"/>
      <w:szCs w:val="20"/>
    </w:rPr>
  </w:style>
  <w:style w:type="paragraph" w:customStyle="1" w:styleId="CM8">
    <w:name w:val="CM8"/>
    <w:basedOn w:val="Standard"/>
    <w:next w:val="Standard"/>
    <w:pPr>
      <w:widowControl w:val="0"/>
      <w:autoSpaceDE w:val="0"/>
      <w:spacing w:after="0"/>
      <w:ind w:firstLine="0"/>
      <w:jc w:val="left"/>
    </w:pPr>
    <w:rPr>
      <w:rFonts w:ascii="Times New Roman" w:hAnsi="Times New Roman"/>
      <w:sz w:val="24"/>
    </w:rPr>
  </w:style>
  <w:style w:type="paragraph" w:customStyle="1" w:styleId="CM2">
    <w:name w:val="CM2"/>
    <w:basedOn w:val="Default"/>
    <w:next w:val="Default"/>
    <w:pPr>
      <w:widowControl w:val="0"/>
      <w:spacing w:line="300" w:lineRule="atLeast"/>
    </w:pPr>
  </w:style>
  <w:style w:type="paragraph" w:customStyle="1" w:styleId="CM11">
    <w:name w:val="CM11"/>
    <w:basedOn w:val="Default"/>
    <w:next w:val="Default"/>
    <w:pPr>
      <w:widowControl w:val="0"/>
    </w:pPr>
  </w:style>
  <w:style w:type="paragraph" w:customStyle="1" w:styleId="CM6">
    <w:name w:val="CM6"/>
    <w:basedOn w:val="Default"/>
    <w:next w:val="Default"/>
    <w:pPr>
      <w:widowControl w:val="0"/>
      <w:spacing w:line="300" w:lineRule="atLeast"/>
    </w:pPr>
  </w:style>
  <w:style w:type="paragraph" w:styleId="Corpodeltesto2">
    <w:name w:val="Body Text 2"/>
    <w:basedOn w:val="Standard"/>
    <w:pPr>
      <w:spacing w:after="0"/>
      <w:ind w:firstLine="0"/>
    </w:pPr>
    <w:rPr>
      <w:rFonts w:ascii="Times New Roman" w:hAnsi="Times New Roman"/>
      <w:sz w:val="24"/>
    </w:rPr>
  </w:style>
  <w:style w:type="paragraph" w:styleId="Rientrocorpodeltesto2">
    <w:name w:val="Body Text Indent 2"/>
    <w:basedOn w:val="Standard"/>
    <w:pPr>
      <w:spacing w:after="0" w:line="480" w:lineRule="auto"/>
      <w:ind w:left="283" w:firstLine="0"/>
    </w:pPr>
  </w:style>
  <w:style w:type="paragraph" w:customStyle="1" w:styleId="CarattereCarattere2CarattereCarattereCarattere">
    <w:name w:val="Carattere Carattere2 Carattere Carattere Carattere"/>
    <w:basedOn w:val="Standard"/>
    <w:pPr>
      <w:spacing w:after="160" w:line="240" w:lineRule="exact"/>
      <w:ind w:firstLine="0"/>
      <w:jc w:val="left"/>
    </w:pPr>
    <w:rPr>
      <w:rFonts w:ascii="Tahoma" w:hAnsi="Tahoma" w:cs="Tahoma"/>
      <w:sz w:val="20"/>
      <w:szCs w:val="20"/>
      <w:lang w:val="en-US"/>
    </w:rPr>
  </w:style>
  <w:style w:type="paragraph" w:styleId="NormaleWeb">
    <w:name w:val="Normal (Web)"/>
    <w:pPr>
      <w:widowControl/>
      <w:suppressAutoHyphens/>
      <w:spacing w:before="100" w:after="100"/>
      <w:textAlignment w:val="auto"/>
    </w:pPr>
    <w:rPr>
      <w:rFonts w:cs="Times New Roman"/>
      <w:lang w:eastAsia="it-IT" w:bidi="ar-SA"/>
    </w:rPr>
  </w:style>
  <w:style w:type="paragraph" w:customStyle="1" w:styleId="bodytext2">
    <w:name w:val="bodytext2"/>
    <w:basedOn w:val="Standard"/>
    <w:pPr>
      <w:spacing w:before="280" w:after="280"/>
      <w:ind w:firstLine="0"/>
      <w:jc w:val="left"/>
    </w:pPr>
    <w:rPr>
      <w:rFonts w:ascii="Times New Roman" w:hAnsi="Times New Roman"/>
      <w:sz w:val="24"/>
    </w:rPr>
  </w:style>
  <w:style w:type="paragraph" w:customStyle="1" w:styleId="Textbodyindent">
    <w:name w:val="Text body indent"/>
    <w:basedOn w:val="Standard"/>
    <w:pPr>
      <w:spacing w:after="0"/>
      <w:ind w:left="283" w:firstLine="0"/>
    </w:pPr>
  </w:style>
  <w:style w:type="paragraph" w:styleId="Corpodeltesto3">
    <w:name w:val="Body Text 3"/>
    <w:basedOn w:val="Standard"/>
    <w:pPr>
      <w:autoSpaceDE w:val="0"/>
    </w:pPr>
    <w:rPr>
      <w:rFonts w:ascii="Arial" w:hAnsi="Arial" w:cs="Arial"/>
      <w:sz w:val="20"/>
      <w:szCs w:val="20"/>
    </w:rPr>
  </w:style>
  <w:style w:type="paragraph" w:styleId="Sottotitolo">
    <w:name w:val="Subtitle"/>
    <w:basedOn w:val="Standard"/>
    <w:next w:val="Textbody"/>
    <w:pPr>
      <w:spacing w:after="0"/>
      <w:ind w:firstLine="0"/>
      <w:jc w:val="center"/>
    </w:pPr>
    <w:rPr>
      <w:rFonts w:ascii="Times New Roman" w:hAnsi="Times New Roman"/>
      <w:sz w:val="28"/>
      <w:szCs w:val="20"/>
    </w:rPr>
  </w:style>
  <w:style w:type="paragraph" w:customStyle="1" w:styleId="CarattereCarattere2CarattereCarattereCarattereCarattereCarattereCarattere">
    <w:name w:val="Carattere Carattere2 Carattere Carattere Carattere Carattere Carattere Carattere"/>
    <w:basedOn w:val="Standard"/>
    <w:pPr>
      <w:spacing w:after="160" w:line="240" w:lineRule="exact"/>
      <w:ind w:firstLine="0"/>
      <w:jc w:val="left"/>
    </w:pPr>
    <w:rPr>
      <w:rFonts w:ascii="Tahoma" w:hAnsi="Tahoma" w:cs="Tahoma"/>
      <w:sz w:val="20"/>
      <w:szCs w:val="20"/>
      <w:lang w:val="en-US"/>
    </w:rPr>
  </w:style>
  <w:style w:type="paragraph" w:customStyle="1" w:styleId="grassetto">
    <w:name w:val="grassetto"/>
    <w:basedOn w:val="Standard"/>
    <w:pPr>
      <w:spacing w:before="280" w:after="280"/>
      <w:ind w:firstLine="0"/>
      <w:jc w:val="left"/>
    </w:pPr>
    <w:rPr>
      <w:rFonts w:ascii="Times New Roman" w:hAnsi="Times New Roman"/>
      <w:sz w:val="24"/>
    </w:rPr>
  </w:style>
  <w:style w:type="paragraph" w:styleId="Testocommento">
    <w:name w:val="annotation text"/>
    <w:basedOn w:val="Standard"/>
    <w:rPr>
      <w:sz w:val="20"/>
      <w:szCs w:val="20"/>
    </w:rPr>
  </w:style>
  <w:style w:type="paragraph" w:styleId="Soggettocommento">
    <w:name w:val="annotation subject"/>
    <w:basedOn w:val="Testocommento"/>
    <w:next w:val="Testocommento"/>
    <w:rPr>
      <w:b/>
      <w:bCs/>
    </w:rPr>
  </w:style>
  <w:style w:type="paragraph" w:styleId="Testofumetto">
    <w:name w:val="Balloon Text"/>
    <w:basedOn w:val="Standard"/>
    <w:pPr>
      <w:spacing w:after="0"/>
    </w:pPr>
    <w:rPr>
      <w:rFonts w:ascii="Tahoma" w:hAnsi="Tahoma" w:cs="Tahoma"/>
      <w:sz w:val="16"/>
      <w:szCs w:val="16"/>
    </w:rPr>
  </w:style>
  <w:style w:type="paragraph" w:styleId="Pidipagina">
    <w:name w:val="footer"/>
    <w:basedOn w:val="Standard"/>
    <w:pPr>
      <w:tabs>
        <w:tab w:val="center" w:pos="4819"/>
        <w:tab w:val="right" w:pos="9638"/>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firstLine="0"/>
    </w:pPr>
  </w:style>
  <w:style w:type="paragraph" w:styleId="Titolo">
    <w:name w:val="Title"/>
    <w:basedOn w:val="Heading"/>
    <w:next w:val="Textbody"/>
    <w:pPr>
      <w:jc w:val="center"/>
    </w:pPr>
    <w:rPr>
      <w:b/>
      <w:bCs/>
      <w:sz w:val="56"/>
      <w:szCs w:val="56"/>
    </w:rPr>
  </w:style>
  <w:style w:type="paragraph" w:customStyle="1" w:styleId="Style1">
    <w:name w:val="Style 1"/>
    <w:basedOn w:val="Standard"/>
    <w:pPr>
      <w:widowControl w:val="0"/>
    </w:pPr>
    <w:rPr>
      <w:color w:val="000000"/>
      <w:sz w:val="20"/>
      <w:szCs w:val="20"/>
    </w:rPr>
  </w:style>
  <w:style w:type="paragraph" w:customStyle="1" w:styleId="Style2">
    <w:name w:val="Style 2"/>
    <w:basedOn w:val="Standard"/>
    <w:pPr>
      <w:widowControl w:val="0"/>
      <w:spacing w:after="0"/>
      <w:ind w:left="720" w:hanging="360"/>
    </w:pPr>
    <w:rPr>
      <w:color w:val="000000"/>
      <w:sz w:val="20"/>
      <w:szCs w:val="20"/>
    </w:rPr>
  </w:style>
  <w:style w:type="paragraph" w:customStyle="1" w:styleId="ELENCONUMERATO">
    <w:name w:val="ELENCO_NUMERATO"/>
    <w:pPr>
      <w:widowControl/>
      <w:numPr>
        <w:numId w:val="15"/>
      </w:numPr>
      <w:suppressAutoHyphens/>
      <w:jc w:val="both"/>
    </w:pPr>
    <w:rPr>
      <w:rFonts w:ascii="Arial" w:eastAsia="Arial" w:hAnsi="Arial" w:cs="Times New Roman"/>
      <w:sz w:val="20"/>
      <w:szCs w:val="20"/>
      <w:lang w:bidi="ar-SA"/>
    </w:rPr>
  </w:style>
  <w:style w:type="paragraph" w:customStyle="1" w:styleId="ELENCOLETTERE">
    <w:name w:val="ELENCO_LETTERE"/>
    <w:basedOn w:val="TESTO"/>
    <w:pPr>
      <w:numPr>
        <w:numId w:val="16"/>
      </w:numPr>
      <w:tabs>
        <w:tab w:val="left" w:pos="-2028"/>
      </w:tabs>
    </w:pPr>
    <w:rPr>
      <w:rFonts w:ascii="Arial" w:hAnsi="Arial"/>
      <w:sz w:val="20"/>
    </w:rPr>
  </w:style>
  <w:style w:type="paragraph" w:customStyle="1" w:styleId="ELENCOPTORIENTRO">
    <w:name w:val="ELENCO_PTO_RIENTRO"/>
    <w:basedOn w:val="ELENCOPUNTATO"/>
    <w:pPr>
      <w:numPr>
        <w:numId w:val="18"/>
      </w:numPr>
      <w:tabs>
        <w:tab w:val="left" w:pos="-2460"/>
      </w:tabs>
    </w:pPr>
  </w:style>
  <w:style w:type="paragraph" w:customStyle="1" w:styleId="TESTO">
    <w:name w:val="TESTO"/>
    <w:pPr>
      <w:widowControl/>
      <w:suppressAutoHyphens/>
      <w:jc w:val="both"/>
    </w:pPr>
    <w:rPr>
      <w:rFonts w:ascii="Times New Roman" w:eastAsia="Arial" w:hAnsi="Times New Roman" w:cs="Times New Roman"/>
      <w:szCs w:val="20"/>
      <w:lang w:bidi="ar-SA"/>
    </w:rPr>
  </w:style>
  <w:style w:type="paragraph" w:customStyle="1" w:styleId="PROPOSTA">
    <w:name w:val="PROPOSTA"/>
    <w:basedOn w:val="Standard"/>
    <w:pPr>
      <w:autoSpaceDE w:val="0"/>
      <w:spacing w:after="0"/>
    </w:pPr>
    <w:rPr>
      <w:rFonts w:ascii="Arial" w:hAnsi="Arial" w:cs="Arial"/>
      <w:sz w:val="20"/>
      <w:szCs w:val="20"/>
    </w:rPr>
  </w:style>
  <w:style w:type="paragraph" w:styleId="Testonormale">
    <w:name w:val="Plain Text"/>
    <w:basedOn w:val="Standard"/>
    <w:pPr>
      <w:widowControl w:val="0"/>
      <w:autoSpaceDE w:val="0"/>
    </w:pPr>
    <w:rPr>
      <w:rFonts w:ascii="Courier New" w:hAnsi="Courier New" w:cs="Courier New"/>
      <w:sz w:val="20"/>
      <w:szCs w:val="20"/>
    </w:rPr>
  </w:style>
  <w:style w:type="character" w:customStyle="1" w:styleId="PODNumberingSymbols">
    <w:name w:val="POD Numbering Symbols"/>
  </w:style>
  <w:style w:type="character" w:customStyle="1" w:styleId="PODBulletSymbols">
    <w:name w:val="POD Bullet Symbols"/>
    <w:rPr>
      <w:rFonts w:ascii="StarSymbol" w:eastAsia="StarSymbol" w:hAnsi="StarSymbol" w:cs="StarSymbol"/>
      <w:sz w:val="18"/>
      <w:szCs w:val="18"/>
    </w:rPr>
  </w:style>
  <w:style w:type="character" w:customStyle="1" w:styleId="WW8Num2z0">
    <w:name w:val="WW8Num2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2">
    <w:name w:val="WW8Num11z2"/>
    <w:rPr>
      <w:rFonts w:ascii="Calibri" w:eastAsia="Times New Roman" w:hAnsi="Calibri" w:cs="Times New Roman"/>
    </w:rPr>
  </w:style>
  <w:style w:type="character" w:customStyle="1" w:styleId="WW8Num13z0">
    <w:name w:val="WW8Num13z0"/>
    <w:rPr>
      <w:rFonts w:ascii="Calibri" w:eastAsia="Times New Roman"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Times New Roman"/>
    </w:rPr>
  </w:style>
  <w:style w:type="character" w:customStyle="1" w:styleId="WW8Num16z3">
    <w:name w:val="WW8Num16z3"/>
    <w:rPr>
      <w:rFonts w:ascii="Symbol" w:hAnsi="Symbol" w:cs="Times New Roman"/>
    </w:rPr>
  </w:style>
  <w:style w:type="character" w:customStyle="1" w:styleId="WW8Num19z0">
    <w:name w:val="WW8Num19z0"/>
    <w:rPr>
      <w:rFonts w:ascii="Symbol" w:hAnsi="Symbol"/>
    </w:rPr>
  </w:style>
  <w:style w:type="character" w:customStyle="1" w:styleId="WW8Num20z1">
    <w:name w:val="WW8Num20z1"/>
    <w:rPr>
      <w:rFonts w:ascii="Symbol" w:hAnsi="Symbol"/>
    </w:rPr>
  </w:style>
  <w:style w:type="character" w:customStyle="1" w:styleId="WW8Num20z2">
    <w:name w:val="WW8Num20z2"/>
    <w:rPr>
      <w:rFonts w:ascii="Calibri" w:eastAsia="Times New Roman" w:hAnsi="Calibri"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St8z0">
    <w:name w:val="WW8NumSt8z0"/>
    <w:rPr>
      <w:rFonts w:ascii="Symbol" w:hAnsi="Symbol"/>
    </w:rPr>
  </w:style>
  <w:style w:type="character" w:customStyle="1" w:styleId="Caratterepredefinitoparagrafo">
    <w:name w:val="Carattere predefinito paragrafo"/>
  </w:style>
  <w:style w:type="character" w:customStyle="1" w:styleId="Carattere7">
    <w:name w:val="Carattere7"/>
    <w:rPr>
      <w:rFonts w:ascii="Calibri" w:hAnsi="Calibri" w:cs="Arial"/>
      <w:b/>
      <w:bCs/>
      <w:color w:val="FFFFFF"/>
      <w:sz w:val="32"/>
      <w:szCs w:val="28"/>
      <w:shd w:val="clear" w:color="auto" w:fill="457FAF"/>
    </w:rPr>
  </w:style>
  <w:style w:type="character" w:customStyle="1" w:styleId="FootnoteSymbol">
    <w:name w:val="Footnote Symbol"/>
    <w:rPr>
      <w:position w:val="0"/>
      <w:vertAlign w:val="superscript"/>
    </w:rPr>
  </w:style>
  <w:style w:type="character" w:customStyle="1" w:styleId="StrongEmphasis">
    <w:name w:val="Strong Emphasis"/>
    <w:rPr>
      <w:b/>
      <w:bCs/>
    </w:rPr>
  </w:style>
  <w:style w:type="character" w:customStyle="1" w:styleId="Internetlink">
    <w:name w:val="Internet link"/>
    <w:rPr>
      <w:strike w:val="0"/>
      <w:dstrike w:val="0"/>
      <w:color w:val="0000FF"/>
      <w:u w:val="none"/>
    </w:rPr>
  </w:style>
  <w:style w:type="character" w:customStyle="1" w:styleId="stilemessaggiodipostaelettronica17">
    <w:name w:val="stilemessaggiodipostaelettronica17"/>
    <w:rPr>
      <w:rFonts w:ascii="Arial" w:hAnsi="Arial" w:cs="Arial"/>
      <w:color w:val="000000"/>
      <w:sz w:val="20"/>
      <w:szCs w:val="20"/>
    </w:rPr>
  </w:style>
  <w:style w:type="character" w:styleId="Enfasicorsivo">
    <w:name w:val="Emphasis"/>
    <w:rPr>
      <w:i/>
      <w:iCs/>
    </w:rPr>
  </w:style>
  <w:style w:type="character" w:customStyle="1" w:styleId="riferimento">
    <w:name w:val="riferimento"/>
    <w:basedOn w:val="Caratterepredefinitoparagrafo"/>
  </w:style>
  <w:style w:type="character" w:styleId="Rimandocommento">
    <w:name w:val="annotation reference"/>
    <w:rPr>
      <w:sz w:val="16"/>
      <w:szCs w:val="16"/>
    </w:rPr>
  </w:style>
  <w:style w:type="character" w:customStyle="1" w:styleId="Carattere3">
    <w:name w:val="Carattere3"/>
    <w:rPr>
      <w:rFonts w:ascii="Calibri" w:hAnsi="Calibri"/>
    </w:rPr>
  </w:style>
  <w:style w:type="character" w:customStyle="1" w:styleId="Carattere2">
    <w:name w:val="Carattere2"/>
    <w:rPr>
      <w:rFonts w:ascii="Calibri" w:hAnsi="Calibri"/>
      <w:b/>
      <w:bCs/>
    </w:rPr>
  </w:style>
  <w:style w:type="character" w:customStyle="1" w:styleId="Carattere1">
    <w:name w:val="Carattere1"/>
    <w:rPr>
      <w:rFonts w:ascii="Tahoma" w:hAnsi="Tahoma" w:cs="Tahoma"/>
      <w:sz w:val="16"/>
      <w:szCs w:val="16"/>
    </w:rPr>
  </w:style>
  <w:style w:type="character" w:customStyle="1" w:styleId="Carattere6">
    <w:name w:val="Carattere6"/>
  </w:style>
  <w:style w:type="character" w:customStyle="1" w:styleId="Carattere5">
    <w:name w:val="Carattere5"/>
    <w:rPr>
      <w:rFonts w:ascii="Calibri" w:hAnsi="Calibri"/>
      <w:sz w:val="22"/>
      <w:szCs w:val="24"/>
    </w:rPr>
  </w:style>
  <w:style w:type="character" w:customStyle="1" w:styleId="Carattere4">
    <w:name w:val="Carattere4"/>
    <w:rPr>
      <w:sz w:val="28"/>
    </w:rPr>
  </w:style>
  <w:style w:type="character" w:customStyle="1" w:styleId="Carattere">
    <w:name w:val="Carattere"/>
    <w:rPr>
      <w:rFonts w:ascii="Calibri" w:hAnsi="Calibri"/>
      <w:sz w:val="22"/>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33z2">
    <w:name w:val="WW8Num33z2"/>
    <w:rPr>
      <w:rFonts w:ascii="Wingdings" w:hAnsi="Wingdings"/>
    </w:rPr>
  </w:style>
  <w:style w:type="character" w:customStyle="1" w:styleId="WW8Num33z1">
    <w:name w:val="WW8Num33z1"/>
    <w:rPr>
      <w:rFonts w:ascii="Courier New" w:hAnsi="Courier New"/>
    </w:rPr>
  </w:style>
  <w:style w:type="character" w:customStyle="1" w:styleId="WW8Num33z0">
    <w:name w:val="WW8Num33z0"/>
    <w:rPr>
      <w:rFonts w:ascii="Symbol" w:hAnsi="Symbol"/>
    </w:rPr>
  </w:style>
  <w:style w:type="character" w:customStyle="1" w:styleId="WW8Num26z0">
    <w:name w:val="WW8Num26z0"/>
    <w:rPr>
      <w:rFonts w:ascii="Symbol" w:hAnsi="Symbol"/>
    </w:rPr>
  </w:style>
  <w:style w:type="character" w:customStyle="1" w:styleId="WW8Num25z2">
    <w:name w:val="WW8Num25z2"/>
    <w:rPr>
      <w:rFonts w:ascii="Wingdings" w:hAnsi="Wingdings"/>
    </w:rPr>
  </w:style>
  <w:style w:type="character" w:customStyle="1" w:styleId="WW8Num25z1">
    <w:name w:val="WW8Num25z1"/>
    <w:rPr>
      <w:rFonts w:ascii="Courier New" w:hAnsi="Courier New"/>
    </w:rPr>
  </w:style>
  <w:style w:type="character" w:customStyle="1" w:styleId="WW8Num25z0">
    <w:name w:val="WW8Num25z0"/>
    <w:rPr>
      <w:rFonts w:ascii="Symbol" w:hAnsi="Symbol"/>
    </w:rPr>
  </w:style>
  <w:style w:type="character" w:customStyle="1" w:styleId="WW8Num24z3">
    <w:name w:val="WW8Num24z3"/>
    <w:rPr>
      <w:rFonts w:ascii="Symbol" w:hAnsi="Symbol" w:cs="Times New Roman"/>
    </w:rPr>
  </w:style>
  <w:style w:type="character" w:customStyle="1" w:styleId="WW8Num24z2">
    <w:name w:val="WW8Num24z2"/>
    <w:rPr>
      <w:rFonts w:ascii="Wingdings" w:hAnsi="Wingdings" w:cs="Times New Roman"/>
    </w:rPr>
  </w:style>
  <w:style w:type="character" w:customStyle="1" w:styleId="WW8Num24z1">
    <w:name w:val="WW8Num24z1"/>
    <w:rPr>
      <w:rFonts w:ascii="Courier New" w:hAnsi="Courier New" w:cs="Courier New"/>
    </w:rPr>
  </w:style>
  <w:style w:type="character" w:customStyle="1" w:styleId="WW8Num24z0">
    <w:name w:val="WW8Num24z0"/>
    <w:rPr>
      <w:rFonts w:ascii="Symbol" w:hAnsi="Symbol"/>
    </w:rPr>
  </w:style>
  <w:style w:type="character" w:customStyle="1" w:styleId="WW8Num22z0">
    <w:name w:val="WW8Num22z0"/>
    <w:rPr>
      <w:rFonts w:ascii="Arial" w:hAnsi="Arial" w:cs="Arial"/>
      <w:b w:val="0"/>
      <w:i w:val="0"/>
    </w:rPr>
  </w:style>
  <w:style w:type="character" w:customStyle="1" w:styleId="WW8Num19z2">
    <w:name w:val="WW8Num19z2"/>
    <w:rPr>
      <w:rFonts w:ascii="Wingdings" w:hAnsi="Wingdings"/>
    </w:rPr>
  </w:style>
  <w:style w:type="character" w:customStyle="1" w:styleId="WW8Num19z1">
    <w:name w:val="WW8Num19z1"/>
    <w:rPr>
      <w:rFonts w:ascii="Courier New" w:hAnsi="Courier New" w:cs="Courier New"/>
    </w:rPr>
  </w:style>
  <w:style w:type="character" w:customStyle="1" w:styleId="WW8Num18z0">
    <w:name w:val="WW8Num18z0"/>
    <w:rPr>
      <w:rFonts w:ascii="Symbol" w:hAnsi="Symbol"/>
    </w:rPr>
  </w:style>
  <w:style w:type="character" w:customStyle="1" w:styleId="WW8Num17z3">
    <w:name w:val="WW8Num17z3"/>
    <w:rPr>
      <w:rFonts w:ascii="Symbol" w:hAnsi="Symbol"/>
    </w:rPr>
  </w:style>
  <w:style w:type="character" w:customStyle="1" w:styleId="WW8Num17z2">
    <w:name w:val="WW8Num17z2"/>
    <w:rPr>
      <w:rFonts w:ascii="Wingdings" w:hAnsi="Wingdings"/>
    </w:rPr>
  </w:style>
  <w:style w:type="character" w:customStyle="1" w:styleId="WW8Num17z1">
    <w:name w:val="WW8Num17z1"/>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0z2">
    <w:name w:val="WW8Num10z2"/>
    <w:rPr>
      <w:rFonts w:ascii="Wingdings" w:hAnsi="Wingdings" w:cs="Times New Roman"/>
    </w:rPr>
  </w:style>
  <w:style w:type="character" w:customStyle="1" w:styleId="WW8Num9z3">
    <w:name w:val="WW8Num9z3"/>
    <w:rPr>
      <w:rFonts w:ascii="Symbol" w:hAnsi="Symbol"/>
    </w:rPr>
  </w:style>
  <w:style w:type="character" w:customStyle="1" w:styleId="WW8Num9z2">
    <w:name w:val="WW8Num9z2"/>
    <w:rPr>
      <w:rFonts w:ascii="Wingdings" w:hAnsi="Wingdings"/>
    </w:rPr>
  </w:style>
  <w:style w:type="character" w:customStyle="1" w:styleId="WW8Num9z1">
    <w:name w:val="WW8Num9z1"/>
    <w:rPr>
      <w:rFonts w:ascii="Courier New" w:hAnsi="Courier New" w:cs="Courier New"/>
    </w:rPr>
  </w:style>
  <w:style w:type="character" w:customStyle="1" w:styleId="WW8Num9z0">
    <w:name w:val="WW8Num9z0"/>
    <w:rPr>
      <w:rFonts w:ascii="Times New Roman" w:eastAsia="Times New Roman" w:hAnsi="Times New Roman" w:cs="Times New Roman"/>
    </w:rPr>
  </w:style>
  <w:style w:type="character" w:customStyle="1" w:styleId="WW8Num8z0">
    <w:name w:val="WW8Num8z0"/>
    <w:rPr>
      <w:b w:val="0"/>
      <w:i w:val="0"/>
    </w:rPr>
  </w:style>
  <w:style w:type="character" w:customStyle="1" w:styleId="WW8Num7z2">
    <w:name w:val="WW8Num7z2"/>
    <w:rPr>
      <w:rFonts w:ascii="Wingdings" w:hAnsi="Wingdings"/>
    </w:rPr>
  </w:style>
  <w:style w:type="character" w:customStyle="1" w:styleId="WW8Num6z2">
    <w:name w:val="WW8Num6z2"/>
    <w:rPr>
      <w:rFonts w:ascii="Wingdings" w:hAnsi="Wingdings"/>
    </w:rPr>
  </w:style>
  <w:style w:type="character" w:customStyle="1" w:styleId="WW8Num5z0">
    <w:name w:val="WW8Num5z0"/>
    <w:rPr>
      <w:rFonts w:ascii="Symbol" w:hAnsi="Symbol"/>
      <w:sz w:val="20"/>
    </w:rPr>
  </w:style>
  <w:style w:type="character" w:customStyle="1" w:styleId="WW8Num4z2">
    <w:name w:val="WW8Num4z2"/>
    <w:rPr>
      <w:rFonts w:ascii="Wingdings" w:hAnsi="Wingdings"/>
    </w:rPr>
  </w:style>
  <w:style w:type="character" w:customStyle="1" w:styleId="WW8Num4z1">
    <w:name w:val="WW8Num4z1"/>
    <w:rPr>
      <w:rFonts w:ascii="Courier New" w:hAnsi="Courier New" w:cs="Courier New"/>
    </w:rPr>
  </w:style>
  <w:style w:type="character" w:customStyle="1" w:styleId="WW8Num4z0">
    <w:name w:val="WW8Num4z0"/>
    <w:rPr>
      <w:rFonts w:ascii="Symbol" w:hAnsi="Symbol"/>
    </w:rPr>
  </w:style>
  <w:style w:type="character" w:customStyle="1" w:styleId="WW8Num3z3">
    <w:name w:val="WW8Num3z3"/>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cs="Courier New"/>
    </w:rPr>
  </w:style>
  <w:style w:type="character" w:customStyle="1" w:styleId="WW8Num3z0">
    <w:name w:val="WW8Num3z0"/>
    <w:rPr>
      <w:rFonts w:ascii="Times New Roman" w:eastAsia="Times New Roman" w:hAnsi="Times New Roman" w:cs="Times New Roman"/>
    </w:rPr>
  </w:style>
  <w:style w:type="character" w:customStyle="1" w:styleId="WW8Num1z0">
    <w:name w:val="WW8Num1z0"/>
    <w:rPr>
      <w:rFonts w:ascii="Symbol" w:hAnsi="Symbol"/>
    </w:rPr>
  </w:style>
  <w:style w:type="character" w:customStyle="1" w:styleId="ListLabel1">
    <w:name w:val="ListLabel 1"/>
    <w:rPr>
      <w:rFonts w:ascii="Liberation Serif" w:hAnsi="Liberation Serif" w:cs="Times New Roman"/>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33">
    <w:name w:val="WW8Num33"/>
    <w:basedOn w:val="Nessunelenco"/>
    <w:pPr>
      <w:numPr>
        <w:numId w:val="28"/>
      </w:numPr>
    </w:pPr>
  </w:style>
  <w:style w:type="numbering" w:customStyle="1" w:styleId="WWNum1">
    <w:name w:val="WWNum1"/>
    <w:basedOn w:val="Nessunelenco"/>
    <w:pPr>
      <w:numPr>
        <w:numId w:val="29"/>
      </w:numPr>
    </w:pPr>
  </w:style>
  <w:style w:type="numbering" w:customStyle="1" w:styleId="WWNum2">
    <w:name w:val="WWNum2"/>
    <w:basedOn w:val="Nessunelenco"/>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7887</Words>
  <Characters>44958</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Parte I -</vt:lpstr>
    </vt:vector>
  </TitlesOfParts>
  <Company/>
  <LinksUpToDate>false</LinksUpToDate>
  <CharactersWithSpaces>52740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dc:title>
  <dc:creator>ario</dc:creator>
  <cp:lastModifiedBy>Francesco Gentile</cp:lastModifiedBy>
  <cp:revision>2</cp:revision>
  <dcterms:created xsi:type="dcterms:W3CDTF">2016-11-23T08:55:00Z</dcterms:created>
  <dcterms:modified xsi:type="dcterms:W3CDTF">2016-11-23T08:55:00Z</dcterms:modified>
</cp:coreProperties>
</file>